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charts/chart12.xml" ContentType="application/vnd.openxmlformats-officedocument.drawingml.chart+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aps/>
        </w:rPr>
        <w:id w:val="1020360"/>
        <w:docPartObj>
          <w:docPartGallery w:val="Cover Pages"/>
          <w:docPartUnique/>
        </w:docPartObj>
      </w:sdtPr>
      <w:sdtEndPr>
        <w:rPr>
          <w:rFonts w:ascii="Arial" w:eastAsia="Calibri" w:hAnsi="Arial" w:cs="Times New Roman"/>
          <w:caps w:val="0"/>
        </w:rPr>
      </w:sdtEndPr>
      <w:sdtContent>
        <w:tbl>
          <w:tblPr>
            <w:tblW w:w="5000" w:type="pct"/>
            <w:jc w:val="center"/>
            <w:tblLook w:val="04A0" w:firstRow="1" w:lastRow="0" w:firstColumn="1" w:lastColumn="0" w:noHBand="0" w:noVBand="1"/>
          </w:tblPr>
          <w:tblGrid>
            <w:gridCol w:w="10466"/>
          </w:tblGrid>
          <w:tr w:rsidR="005874E7" w14:paraId="1FA3CDFC" w14:textId="77777777" w:rsidTr="00C90C75">
            <w:trPr>
              <w:trHeight w:val="2880"/>
              <w:jc w:val="center"/>
            </w:trPr>
            <w:tc>
              <w:tcPr>
                <w:tcW w:w="5000" w:type="pct"/>
              </w:tcPr>
              <w:p w14:paraId="2DDDDA36" w14:textId="77777777" w:rsidR="0017092D" w:rsidRPr="00B22854" w:rsidRDefault="0017092D" w:rsidP="0017092D">
                <w:pPr>
                  <w:pStyle w:val="Header"/>
                  <w:jc w:val="center"/>
                  <w:rPr>
                    <w:rFonts w:ascii="Calibri Light" w:hAnsi="Calibri Light"/>
                    <w:b/>
                    <w:bCs/>
                    <w:sz w:val="36"/>
                    <w:szCs w:val="36"/>
                    <w:lang w:val="en-GB"/>
                  </w:rPr>
                </w:pPr>
                <w:r w:rsidRPr="00B22854">
                  <w:rPr>
                    <w:rFonts w:ascii="Calibri Light" w:hAnsi="Calibri Light"/>
                    <w:b/>
                    <w:noProof/>
                    <w:sz w:val="36"/>
                    <w:szCs w:val="36"/>
                    <w:lang w:eastAsia="en-AU"/>
                  </w:rPr>
                  <w:drawing>
                    <wp:inline distT="0" distB="0" distL="0" distR="0" wp14:anchorId="3D770A9B" wp14:editId="1ADEAC69">
                      <wp:extent cx="944989" cy="797592"/>
                      <wp:effectExtent l="19050" t="0" r="7511" b="0"/>
                      <wp:docPr id="9" name="Picture 9" descr="Crest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 good!"/>
                              <pic:cNvPicPr>
                                <a:picLocks noChangeAspect="1" noChangeArrowheads="1"/>
                              </pic:cNvPicPr>
                            </pic:nvPicPr>
                            <pic:blipFill>
                              <a:blip r:embed="rId8" cstate="print"/>
                              <a:srcRect l="6934" t="9615" r="4741"/>
                              <a:stretch>
                                <a:fillRect/>
                              </a:stretch>
                            </pic:blipFill>
                            <pic:spPr bwMode="auto">
                              <a:xfrm>
                                <a:off x="0" y="0"/>
                                <a:ext cx="944989" cy="797592"/>
                              </a:xfrm>
                              <a:prstGeom prst="rect">
                                <a:avLst/>
                              </a:prstGeom>
                              <a:noFill/>
                              <a:ln w="9525">
                                <a:noFill/>
                                <a:miter lim="800000"/>
                                <a:headEnd/>
                                <a:tailEnd/>
                              </a:ln>
                            </pic:spPr>
                          </pic:pic>
                        </a:graphicData>
                      </a:graphic>
                    </wp:inline>
                  </w:drawing>
                </w:r>
              </w:p>
              <w:p w14:paraId="33091479" w14:textId="77777777" w:rsidR="0017092D" w:rsidRPr="00B22854" w:rsidRDefault="0017092D" w:rsidP="0017092D">
                <w:pPr>
                  <w:pStyle w:val="Header"/>
                  <w:jc w:val="center"/>
                  <w:rPr>
                    <w:rFonts w:ascii="Calibri Light" w:hAnsi="Calibri Light"/>
                    <w:b/>
                    <w:bCs/>
                    <w:sz w:val="20"/>
                    <w:lang w:val="en-GB"/>
                  </w:rPr>
                </w:pPr>
              </w:p>
              <w:p w14:paraId="7E632B0A" w14:textId="77777777" w:rsidR="0017092D" w:rsidRPr="00B22854" w:rsidRDefault="0017092D" w:rsidP="0017092D">
                <w:pPr>
                  <w:jc w:val="center"/>
                  <w:rPr>
                    <w:rFonts w:asciiTheme="minorHAnsi" w:hAnsiTheme="minorHAnsi"/>
                    <w:b/>
                    <w:sz w:val="32"/>
                    <w:szCs w:val="32"/>
                  </w:rPr>
                </w:pPr>
                <w:r w:rsidRPr="00B22854">
                  <w:rPr>
                    <w:rFonts w:asciiTheme="minorHAnsi" w:hAnsiTheme="minorHAnsi"/>
                    <w:b/>
                    <w:sz w:val="32"/>
                    <w:szCs w:val="32"/>
                  </w:rPr>
                  <w:t>Office of the National Wind Farm Commissioner</w:t>
                </w:r>
              </w:p>
              <w:p w14:paraId="41339797" w14:textId="77834CB3" w:rsidR="005874E7" w:rsidRPr="00B22854" w:rsidRDefault="005874E7" w:rsidP="002350B7">
                <w:pPr>
                  <w:pStyle w:val="Header"/>
                  <w:jc w:val="center"/>
                  <w:rPr>
                    <w:rFonts w:asciiTheme="minorHAnsi" w:hAnsiTheme="minorHAnsi"/>
                    <w:b/>
                    <w:sz w:val="32"/>
                    <w:szCs w:val="32"/>
                  </w:rPr>
                </w:pPr>
              </w:p>
              <w:p w14:paraId="734B5B76" w14:textId="77777777" w:rsidR="005874E7" w:rsidRDefault="005874E7" w:rsidP="00C90C75">
                <w:pPr>
                  <w:pStyle w:val="NoSpacing"/>
                  <w:jc w:val="center"/>
                  <w:rPr>
                    <w:rFonts w:asciiTheme="majorHAnsi" w:eastAsiaTheme="majorEastAsia" w:hAnsiTheme="majorHAnsi" w:cstheme="majorBidi"/>
                    <w:caps/>
                  </w:rPr>
                </w:pPr>
              </w:p>
              <w:p w14:paraId="2D00B561" w14:textId="77777777" w:rsidR="005874E7" w:rsidRDefault="005874E7" w:rsidP="00C90C75">
                <w:pPr>
                  <w:pStyle w:val="NoSpacing"/>
                  <w:jc w:val="center"/>
                  <w:rPr>
                    <w:rFonts w:asciiTheme="majorHAnsi" w:eastAsiaTheme="majorEastAsia" w:hAnsiTheme="majorHAnsi" w:cstheme="majorBidi"/>
                    <w:caps/>
                  </w:rPr>
                </w:pPr>
              </w:p>
              <w:p w14:paraId="0F3B194A" w14:textId="77777777" w:rsidR="005874E7" w:rsidRDefault="005874E7" w:rsidP="00C90C75">
                <w:pPr>
                  <w:pStyle w:val="NoSpacing"/>
                  <w:jc w:val="center"/>
                  <w:rPr>
                    <w:rFonts w:asciiTheme="majorHAnsi" w:eastAsiaTheme="majorEastAsia" w:hAnsiTheme="majorHAnsi" w:cstheme="majorBidi"/>
                    <w:caps/>
                  </w:rPr>
                </w:pPr>
              </w:p>
              <w:p w14:paraId="6945F78F" w14:textId="77777777" w:rsidR="005874E7" w:rsidRDefault="005874E7" w:rsidP="00C90C75">
                <w:pPr>
                  <w:pStyle w:val="NoSpacing"/>
                  <w:jc w:val="center"/>
                  <w:rPr>
                    <w:rFonts w:asciiTheme="majorHAnsi" w:eastAsiaTheme="majorEastAsia" w:hAnsiTheme="majorHAnsi" w:cstheme="majorBidi"/>
                    <w:caps/>
                  </w:rPr>
                </w:pPr>
              </w:p>
              <w:p w14:paraId="3C371452" w14:textId="77777777" w:rsidR="005874E7" w:rsidRDefault="005874E7" w:rsidP="00C90C75">
                <w:pPr>
                  <w:pStyle w:val="NoSpacing"/>
                  <w:jc w:val="center"/>
                  <w:rPr>
                    <w:rFonts w:asciiTheme="majorHAnsi" w:eastAsiaTheme="majorEastAsia" w:hAnsiTheme="majorHAnsi" w:cstheme="majorBidi"/>
                    <w:caps/>
                  </w:rPr>
                </w:pPr>
              </w:p>
              <w:p w14:paraId="281372CB" w14:textId="77777777" w:rsidR="005874E7" w:rsidRDefault="005874E7" w:rsidP="00C90C75">
                <w:pPr>
                  <w:pStyle w:val="NoSpacing"/>
                  <w:jc w:val="center"/>
                  <w:rPr>
                    <w:rFonts w:asciiTheme="majorHAnsi" w:eastAsiaTheme="majorEastAsia" w:hAnsiTheme="majorHAnsi" w:cstheme="majorBidi"/>
                    <w:caps/>
                  </w:rPr>
                </w:pPr>
              </w:p>
              <w:p w14:paraId="0D27A9E5" w14:textId="77777777" w:rsidR="005874E7" w:rsidRDefault="005874E7" w:rsidP="00C90C75">
                <w:pPr>
                  <w:pStyle w:val="NoSpacing"/>
                  <w:jc w:val="center"/>
                  <w:rPr>
                    <w:rFonts w:asciiTheme="majorHAnsi" w:eastAsiaTheme="majorEastAsia" w:hAnsiTheme="majorHAnsi" w:cstheme="majorBidi"/>
                    <w:caps/>
                  </w:rPr>
                </w:pPr>
              </w:p>
              <w:p w14:paraId="45AD68FE" w14:textId="77777777" w:rsidR="005874E7" w:rsidRDefault="005874E7" w:rsidP="00C90C75">
                <w:pPr>
                  <w:pStyle w:val="NoSpacing"/>
                  <w:jc w:val="center"/>
                  <w:rPr>
                    <w:rFonts w:asciiTheme="majorHAnsi" w:eastAsiaTheme="majorEastAsia" w:hAnsiTheme="majorHAnsi" w:cstheme="majorBidi"/>
                    <w:caps/>
                  </w:rPr>
                </w:pPr>
              </w:p>
              <w:p w14:paraId="28A1B7F5" w14:textId="77777777" w:rsidR="005874E7" w:rsidRDefault="005874E7" w:rsidP="00C90C75">
                <w:pPr>
                  <w:pStyle w:val="NoSpacing"/>
                  <w:jc w:val="center"/>
                  <w:rPr>
                    <w:rFonts w:asciiTheme="majorHAnsi" w:eastAsiaTheme="majorEastAsia" w:hAnsiTheme="majorHAnsi" w:cstheme="majorBidi"/>
                    <w:caps/>
                  </w:rPr>
                </w:pPr>
              </w:p>
              <w:p w14:paraId="5F1B0A1E" w14:textId="77777777" w:rsidR="005874E7" w:rsidRDefault="005874E7" w:rsidP="00C90C75">
                <w:pPr>
                  <w:pStyle w:val="NoSpacing"/>
                  <w:jc w:val="center"/>
                  <w:rPr>
                    <w:rFonts w:asciiTheme="majorHAnsi" w:eastAsiaTheme="majorEastAsia" w:hAnsiTheme="majorHAnsi" w:cstheme="majorBidi"/>
                    <w:caps/>
                  </w:rPr>
                </w:pPr>
              </w:p>
              <w:p w14:paraId="2B60121E" w14:textId="77777777" w:rsidR="005874E7" w:rsidRDefault="005874E7" w:rsidP="00C90C75">
                <w:pPr>
                  <w:pStyle w:val="NoSpacing"/>
                  <w:jc w:val="center"/>
                  <w:rPr>
                    <w:rFonts w:asciiTheme="majorHAnsi" w:eastAsiaTheme="majorEastAsia" w:hAnsiTheme="majorHAnsi" w:cstheme="majorBidi"/>
                    <w:caps/>
                  </w:rPr>
                </w:pPr>
              </w:p>
            </w:tc>
          </w:tr>
          <w:tr w:rsidR="005874E7" w14:paraId="35B9888E" w14:textId="77777777" w:rsidTr="00C90C75">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12" w:space="0" w:color="943634" w:themeColor="accent2" w:themeShade="BF"/>
                    </w:tcBorders>
                    <w:vAlign w:val="center"/>
                  </w:tcPr>
                  <w:p w14:paraId="6A220227" w14:textId="470E9580" w:rsidR="005874E7" w:rsidRDefault="00425A42" w:rsidP="00C90C75">
                    <w:pPr>
                      <w:pStyle w:val="NoSpacing"/>
                      <w:jc w:val="center"/>
                      <w:rPr>
                        <w:rFonts w:asciiTheme="majorHAnsi" w:eastAsiaTheme="majorEastAsia" w:hAnsiTheme="majorHAnsi" w:cstheme="majorBidi"/>
                        <w:sz w:val="80"/>
                        <w:szCs w:val="80"/>
                      </w:rPr>
                    </w:pPr>
                    <w:r w:rsidRPr="007E4E70">
                      <w:rPr>
                        <w:rFonts w:asciiTheme="majorHAnsi" w:eastAsiaTheme="majorEastAsia" w:hAnsiTheme="majorHAnsi" w:cstheme="majorBidi"/>
                        <w:sz w:val="80"/>
                        <w:szCs w:val="80"/>
                      </w:rPr>
                      <w:t>Annual Report</w:t>
                    </w:r>
                  </w:p>
                </w:tc>
              </w:sdtContent>
            </w:sdt>
          </w:tr>
          <w:tr w:rsidR="005874E7" w14:paraId="27716CCA" w14:textId="77777777" w:rsidTr="00C90C75">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12" w:space="0" w:color="943634" w:themeColor="accent2" w:themeShade="BF"/>
                    </w:tcBorders>
                    <w:vAlign w:val="center"/>
                  </w:tcPr>
                  <w:p w14:paraId="29B88920" w14:textId="7D14681B" w:rsidR="005874E7" w:rsidRDefault="00425A42" w:rsidP="00C90C75">
                    <w:pPr>
                      <w:pStyle w:val="NoSpacing"/>
                      <w:jc w:val="center"/>
                      <w:rPr>
                        <w:rFonts w:asciiTheme="majorHAnsi" w:eastAsiaTheme="majorEastAsia" w:hAnsiTheme="majorHAnsi" w:cstheme="majorBidi"/>
                        <w:sz w:val="44"/>
                        <w:szCs w:val="44"/>
                      </w:rPr>
                    </w:pPr>
                    <w:r w:rsidRPr="008C4F7C">
                      <w:rPr>
                        <w:rFonts w:asciiTheme="majorHAnsi" w:eastAsiaTheme="majorEastAsia" w:hAnsiTheme="majorHAnsi" w:cstheme="majorBidi"/>
                        <w:sz w:val="44"/>
                        <w:szCs w:val="44"/>
                      </w:rPr>
                      <w:t>to the Parliament of Australia</w:t>
                    </w:r>
                  </w:p>
                </w:tc>
              </w:sdtContent>
            </w:sdt>
          </w:tr>
          <w:tr w:rsidR="005874E7" w14:paraId="7D1CEC07" w14:textId="77777777" w:rsidTr="00C90C75">
            <w:trPr>
              <w:trHeight w:val="360"/>
              <w:jc w:val="center"/>
            </w:trPr>
            <w:tc>
              <w:tcPr>
                <w:tcW w:w="5000" w:type="pct"/>
                <w:vAlign w:val="center"/>
              </w:tcPr>
              <w:p w14:paraId="16EF33AE" w14:textId="77777777" w:rsidR="00425A42" w:rsidRDefault="00425A42" w:rsidP="00C90C75">
                <w:pPr>
                  <w:spacing w:after="0" w:line="240" w:lineRule="auto"/>
                  <w:jc w:val="center"/>
                  <w:rPr>
                    <w:rFonts w:asciiTheme="minorHAnsi" w:hAnsiTheme="minorHAnsi"/>
                    <w:b/>
                    <w:sz w:val="24"/>
                    <w:szCs w:val="24"/>
                  </w:rPr>
                </w:pPr>
              </w:p>
              <w:p w14:paraId="719E69B5" w14:textId="77777777" w:rsidR="00425A42" w:rsidRDefault="00425A42" w:rsidP="00C90C75">
                <w:pPr>
                  <w:spacing w:after="0" w:line="240" w:lineRule="auto"/>
                  <w:jc w:val="center"/>
                  <w:rPr>
                    <w:rFonts w:asciiTheme="minorHAnsi" w:hAnsiTheme="minorHAnsi"/>
                    <w:b/>
                    <w:sz w:val="24"/>
                    <w:szCs w:val="24"/>
                  </w:rPr>
                </w:pPr>
              </w:p>
              <w:p w14:paraId="654A3A3D" w14:textId="77777777" w:rsidR="00425A42" w:rsidRDefault="00425A42" w:rsidP="00C90C75">
                <w:pPr>
                  <w:spacing w:after="0" w:line="240" w:lineRule="auto"/>
                  <w:jc w:val="center"/>
                  <w:rPr>
                    <w:rFonts w:asciiTheme="minorHAnsi" w:hAnsiTheme="minorHAnsi"/>
                    <w:b/>
                    <w:sz w:val="24"/>
                    <w:szCs w:val="24"/>
                  </w:rPr>
                </w:pPr>
              </w:p>
              <w:p w14:paraId="6BA92F2B" w14:textId="77777777" w:rsidR="00425A42" w:rsidRDefault="00425A42" w:rsidP="00C90C75">
                <w:pPr>
                  <w:spacing w:after="0" w:line="240" w:lineRule="auto"/>
                  <w:jc w:val="center"/>
                  <w:rPr>
                    <w:rFonts w:asciiTheme="minorHAnsi" w:hAnsiTheme="minorHAnsi"/>
                    <w:b/>
                    <w:sz w:val="24"/>
                    <w:szCs w:val="24"/>
                  </w:rPr>
                </w:pPr>
              </w:p>
              <w:p w14:paraId="54836BDF" w14:textId="50CE2F8A" w:rsidR="00425A42" w:rsidRDefault="00425A42" w:rsidP="00C90C75">
                <w:pPr>
                  <w:spacing w:after="0" w:line="240" w:lineRule="auto"/>
                  <w:jc w:val="center"/>
                  <w:rPr>
                    <w:rFonts w:asciiTheme="minorHAnsi" w:hAnsiTheme="minorHAnsi"/>
                    <w:b/>
                    <w:sz w:val="24"/>
                    <w:szCs w:val="24"/>
                  </w:rPr>
                </w:pPr>
                <w:r>
                  <w:rPr>
                    <w:rFonts w:asciiTheme="minorHAnsi" w:hAnsiTheme="minorHAnsi"/>
                    <w:b/>
                    <w:sz w:val="24"/>
                    <w:szCs w:val="24"/>
                  </w:rPr>
                  <w:t>ANNUAL REPORT</w:t>
                </w:r>
              </w:p>
              <w:p w14:paraId="1A4D4995" w14:textId="0602E514" w:rsidR="005874E7" w:rsidRPr="00B22854" w:rsidRDefault="005874E7" w:rsidP="00C90C75">
                <w:pPr>
                  <w:spacing w:after="0" w:line="240" w:lineRule="auto"/>
                  <w:jc w:val="center"/>
                  <w:rPr>
                    <w:rFonts w:asciiTheme="minorHAnsi" w:hAnsiTheme="minorHAnsi"/>
                    <w:b/>
                    <w:sz w:val="24"/>
                    <w:szCs w:val="24"/>
                  </w:rPr>
                </w:pPr>
                <w:r>
                  <w:rPr>
                    <w:rFonts w:asciiTheme="minorHAnsi" w:hAnsiTheme="minorHAnsi"/>
                    <w:b/>
                    <w:sz w:val="24"/>
                    <w:szCs w:val="24"/>
                  </w:rPr>
                  <w:t xml:space="preserve">Year Ending: </w:t>
                </w:r>
                <w:r w:rsidRPr="00B22854">
                  <w:rPr>
                    <w:rFonts w:asciiTheme="minorHAnsi" w:hAnsiTheme="minorHAnsi"/>
                    <w:b/>
                    <w:sz w:val="24"/>
                    <w:szCs w:val="24"/>
                  </w:rPr>
                  <w:t xml:space="preserve"> </w:t>
                </w:r>
                <w:r>
                  <w:rPr>
                    <w:rFonts w:asciiTheme="minorHAnsi" w:hAnsiTheme="minorHAnsi"/>
                    <w:b/>
                    <w:sz w:val="24"/>
                    <w:szCs w:val="24"/>
                  </w:rPr>
                  <w:t xml:space="preserve">31 December </w:t>
                </w:r>
                <w:r w:rsidRPr="00B22854">
                  <w:rPr>
                    <w:rFonts w:asciiTheme="minorHAnsi" w:hAnsiTheme="minorHAnsi"/>
                    <w:b/>
                    <w:sz w:val="24"/>
                    <w:szCs w:val="24"/>
                  </w:rPr>
                  <w:t>201</w:t>
                </w:r>
                <w:r w:rsidR="0017092D">
                  <w:rPr>
                    <w:rFonts w:asciiTheme="minorHAnsi" w:hAnsiTheme="minorHAnsi"/>
                    <w:b/>
                    <w:sz w:val="24"/>
                    <w:szCs w:val="24"/>
                  </w:rPr>
                  <w:t>7</w:t>
                </w:r>
              </w:p>
              <w:p w14:paraId="220C91C7" w14:textId="7A3B2638" w:rsidR="005874E7" w:rsidRPr="00B22854" w:rsidRDefault="005874E7" w:rsidP="00C90C75">
                <w:pPr>
                  <w:spacing w:after="0" w:line="240" w:lineRule="auto"/>
                  <w:jc w:val="center"/>
                  <w:rPr>
                    <w:rFonts w:asciiTheme="minorHAnsi" w:hAnsiTheme="minorHAnsi"/>
                    <w:b/>
                    <w:sz w:val="24"/>
                    <w:szCs w:val="24"/>
                  </w:rPr>
                </w:pPr>
                <w:r>
                  <w:rPr>
                    <w:rFonts w:asciiTheme="minorHAnsi" w:hAnsiTheme="minorHAnsi"/>
                    <w:b/>
                    <w:sz w:val="24"/>
                    <w:szCs w:val="24"/>
                  </w:rPr>
                  <w:t>Date of Report: 31 March 201</w:t>
                </w:r>
                <w:r w:rsidR="0017092D">
                  <w:rPr>
                    <w:rFonts w:asciiTheme="minorHAnsi" w:hAnsiTheme="minorHAnsi"/>
                    <w:b/>
                    <w:sz w:val="24"/>
                    <w:szCs w:val="24"/>
                  </w:rPr>
                  <w:t>8</w:t>
                </w:r>
              </w:p>
              <w:p w14:paraId="57413F0E" w14:textId="77777777" w:rsidR="005874E7" w:rsidRDefault="005874E7" w:rsidP="00C90C75">
                <w:pPr>
                  <w:pStyle w:val="NoSpacing"/>
                  <w:jc w:val="center"/>
                  <w:rPr>
                    <w:b/>
                    <w:bCs/>
                  </w:rPr>
                </w:pPr>
              </w:p>
            </w:tc>
          </w:tr>
        </w:tbl>
        <w:p w14:paraId="5997B09E" w14:textId="77777777" w:rsidR="005874E7" w:rsidRDefault="005874E7" w:rsidP="005874E7"/>
        <w:p w14:paraId="2B5F82C7" w14:textId="77777777" w:rsidR="005874E7" w:rsidRDefault="005874E7" w:rsidP="005874E7"/>
        <w:p w14:paraId="0A28DCEB" w14:textId="77777777" w:rsidR="005874E7" w:rsidRPr="006F4564" w:rsidRDefault="006F23F3" w:rsidP="005874E7">
          <w:pPr>
            <w:spacing w:after="0" w:line="240" w:lineRule="auto"/>
            <w:sectPr w:rsidR="005874E7" w:rsidRPr="006F4564" w:rsidSect="005874E7">
              <w:headerReference w:type="first" r:id="rId9"/>
              <w:footerReference w:type="first" r:id="rId10"/>
              <w:pgSz w:w="11906" w:h="16838"/>
              <w:pgMar w:top="720" w:right="720" w:bottom="720" w:left="720" w:header="425" w:footer="425" w:gutter="0"/>
              <w:cols w:space="708"/>
              <w:docGrid w:linePitch="360"/>
            </w:sectPr>
          </w:pPr>
        </w:p>
      </w:sdtContent>
    </w:sdt>
    <w:p w14:paraId="5CAFE7EE" w14:textId="77777777" w:rsidR="005874E7" w:rsidRPr="00F47E6D" w:rsidRDefault="005874E7" w:rsidP="005874E7">
      <w:pPr>
        <w:spacing w:after="120" w:line="240" w:lineRule="auto"/>
        <w:rPr>
          <w:rFonts w:cs="Arial"/>
          <w:i/>
        </w:rPr>
      </w:pPr>
    </w:p>
    <w:p w14:paraId="63617704" w14:textId="77777777" w:rsidR="005874E7" w:rsidRPr="00CE58AE" w:rsidRDefault="005874E7" w:rsidP="005874E7">
      <w:pPr>
        <w:spacing w:after="120" w:line="240" w:lineRule="auto"/>
        <w:rPr>
          <w:rFonts w:cs="Arial"/>
        </w:rPr>
      </w:pPr>
      <w:r w:rsidRPr="002E62EE">
        <w:rPr>
          <w:rFonts w:cs="Arial"/>
        </w:rPr>
        <w:t xml:space="preserve">31 </w:t>
      </w:r>
      <w:r w:rsidRPr="00387948">
        <w:rPr>
          <w:rFonts w:cs="Arial"/>
        </w:rPr>
        <w:t>March 201</w:t>
      </w:r>
      <w:r w:rsidR="00C20262" w:rsidRPr="00387948">
        <w:rPr>
          <w:rFonts w:cs="Arial"/>
        </w:rPr>
        <w:t>8</w:t>
      </w:r>
    </w:p>
    <w:p w14:paraId="2D1FC153" w14:textId="77777777" w:rsidR="005874E7" w:rsidRPr="00CE58AE" w:rsidRDefault="005874E7" w:rsidP="005874E7">
      <w:pPr>
        <w:spacing w:after="120" w:line="240" w:lineRule="auto"/>
        <w:rPr>
          <w:rFonts w:cs="Arial"/>
        </w:rPr>
      </w:pPr>
    </w:p>
    <w:p w14:paraId="36486412" w14:textId="77777777" w:rsidR="005874E7" w:rsidRPr="00CE58AE" w:rsidRDefault="005874E7" w:rsidP="005874E7">
      <w:pPr>
        <w:spacing w:after="0" w:line="264" w:lineRule="auto"/>
        <w:rPr>
          <w:rFonts w:cs="Arial"/>
        </w:rPr>
      </w:pPr>
      <w:r w:rsidRPr="00CE58AE">
        <w:rPr>
          <w:rFonts w:cs="Arial"/>
        </w:rPr>
        <w:t xml:space="preserve">The Hon Josh Frydenberg MP </w:t>
      </w:r>
    </w:p>
    <w:p w14:paraId="1233D4FE" w14:textId="1BDAA7AA" w:rsidR="005874E7" w:rsidRPr="00CE58AE" w:rsidRDefault="005874E7" w:rsidP="005874E7">
      <w:pPr>
        <w:spacing w:after="0" w:line="264" w:lineRule="auto"/>
        <w:rPr>
          <w:rFonts w:cs="Arial"/>
        </w:rPr>
      </w:pPr>
      <w:r w:rsidRPr="00CE58AE">
        <w:rPr>
          <w:rFonts w:cs="Arial"/>
        </w:rPr>
        <w:t xml:space="preserve">Minister for the Environment </w:t>
      </w:r>
      <w:r w:rsidR="002D5A92">
        <w:rPr>
          <w:rFonts w:cs="Arial"/>
        </w:rPr>
        <w:t>and</w:t>
      </w:r>
      <w:r w:rsidRPr="00CE58AE">
        <w:rPr>
          <w:rFonts w:cs="Arial"/>
        </w:rPr>
        <w:t xml:space="preserve"> Energy </w:t>
      </w:r>
    </w:p>
    <w:p w14:paraId="697ECE91" w14:textId="77777777" w:rsidR="005874E7" w:rsidRPr="00CE58AE" w:rsidRDefault="005874E7" w:rsidP="005874E7">
      <w:pPr>
        <w:spacing w:after="0" w:line="264" w:lineRule="auto"/>
        <w:rPr>
          <w:rFonts w:cs="Arial"/>
        </w:rPr>
      </w:pPr>
      <w:r w:rsidRPr="00CE58AE">
        <w:rPr>
          <w:rFonts w:cs="Arial"/>
        </w:rPr>
        <w:t xml:space="preserve">Parliament House </w:t>
      </w:r>
    </w:p>
    <w:p w14:paraId="40C776A7" w14:textId="77777777" w:rsidR="005874E7" w:rsidRPr="00CE58AE" w:rsidRDefault="005874E7" w:rsidP="005874E7">
      <w:pPr>
        <w:spacing w:after="0" w:line="264" w:lineRule="auto"/>
        <w:rPr>
          <w:rFonts w:cs="Arial"/>
        </w:rPr>
      </w:pPr>
      <w:r w:rsidRPr="00CE58AE">
        <w:rPr>
          <w:rFonts w:cs="Arial"/>
        </w:rPr>
        <w:t>CANBERRA  ACT  2600</w:t>
      </w:r>
    </w:p>
    <w:p w14:paraId="3F1FC6AD" w14:textId="77777777" w:rsidR="005874E7" w:rsidRPr="00CE58AE" w:rsidRDefault="005874E7" w:rsidP="005874E7">
      <w:pPr>
        <w:spacing w:after="120" w:line="240" w:lineRule="auto"/>
        <w:rPr>
          <w:rFonts w:cs="Arial"/>
        </w:rPr>
      </w:pPr>
    </w:p>
    <w:p w14:paraId="4115A4CD" w14:textId="77777777" w:rsidR="005874E7" w:rsidRPr="00CE58AE" w:rsidRDefault="005874E7" w:rsidP="005874E7">
      <w:pPr>
        <w:tabs>
          <w:tab w:val="left" w:pos="4410"/>
        </w:tabs>
        <w:spacing w:after="120" w:line="240" w:lineRule="auto"/>
        <w:rPr>
          <w:rFonts w:cs="Arial"/>
        </w:rPr>
      </w:pPr>
      <w:r w:rsidRPr="00CE58AE">
        <w:rPr>
          <w:rFonts w:cs="Arial"/>
        </w:rPr>
        <w:tab/>
      </w:r>
    </w:p>
    <w:p w14:paraId="76603106" w14:textId="77777777" w:rsidR="005874E7" w:rsidRPr="00CE58AE" w:rsidRDefault="005874E7" w:rsidP="00C20262">
      <w:pPr>
        <w:spacing w:after="120" w:line="240" w:lineRule="auto"/>
        <w:rPr>
          <w:rFonts w:cs="Arial"/>
        </w:rPr>
      </w:pPr>
      <w:r w:rsidRPr="00CE58AE">
        <w:rPr>
          <w:rFonts w:cs="Arial"/>
        </w:rPr>
        <w:t>Dear Minister</w:t>
      </w:r>
      <w:r w:rsidRPr="00CE58AE">
        <w:rPr>
          <w:rFonts w:cs="Arial"/>
        </w:rPr>
        <w:br/>
      </w:r>
    </w:p>
    <w:p w14:paraId="6345AA3D" w14:textId="2B648D6B" w:rsidR="005874E7" w:rsidRPr="00CE58AE" w:rsidRDefault="00387948" w:rsidP="00387948">
      <w:pPr>
        <w:spacing w:line="240" w:lineRule="auto"/>
        <w:rPr>
          <w:rFonts w:cs="Arial"/>
          <w:b/>
        </w:rPr>
      </w:pPr>
      <w:r>
        <w:rPr>
          <w:rFonts w:cs="Arial"/>
          <w:b/>
        </w:rPr>
        <w:t xml:space="preserve">Re: </w:t>
      </w:r>
      <w:r w:rsidR="005874E7" w:rsidRPr="00CE58AE">
        <w:rPr>
          <w:rFonts w:cs="Arial"/>
          <w:b/>
        </w:rPr>
        <w:t>201</w:t>
      </w:r>
      <w:r w:rsidR="00D851BC">
        <w:rPr>
          <w:rFonts w:cs="Arial"/>
          <w:b/>
        </w:rPr>
        <w:t>7</w:t>
      </w:r>
      <w:r w:rsidR="005874E7" w:rsidRPr="00CE58AE">
        <w:rPr>
          <w:rFonts w:cs="Arial"/>
          <w:b/>
        </w:rPr>
        <w:t xml:space="preserve"> Annual Report by the Office of the National Wind Farm Commissioner </w:t>
      </w:r>
    </w:p>
    <w:p w14:paraId="6F902807" w14:textId="77777777" w:rsidR="005874E7" w:rsidRPr="00CE58AE" w:rsidRDefault="005874E7" w:rsidP="00C20262">
      <w:pPr>
        <w:spacing w:line="264" w:lineRule="auto"/>
        <w:rPr>
          <w:rFonts w:cs="Arial"/>
        </w:rPr>
      </w:pPr>
      <w:r w:rsidRPr="00CE58AE">
        <w:rPr>
          <w:rFonts w:cs="Arial"/>
        </w:rPr>
        <w:t>Pursuant to the National Wind Farm Commissioner’s Terms of Referen</w:t>
      </w:r>
      <w:r w:rsidR="00C20262">
        <w:rPr>
          <w:rFonts w:cs="Arial"/>
        </w:rPr>
        <w:t xml:space="preserve">ce, I am pleased to provide the 2017 </w:t>
      </w:r>
      <w:r w:rsidRPr="00CE58AE">
        <w:rPr>
          <w:rFonts w:cs="Arial"/>
        </w:rPr>
        <w:t xml:space="preserve">Annual Report to the Australian Parliament on the activities of the Office of the National Wind Farm Commissioner. </w:t>
      </w:r>
    </w:p>
    <w:p w14:paraId="085C7DAC" w14:textId="77777777" w:rsidR="005874E7" w:rsidRPr="00CE58AE" w:rsidRDefault="005874E7" w:rsidP="00C20262">
      <w:pPr>
        <w:spacing w:line="264" w:lineRule="auto"/>
        <w:rPr>
          <w:rFonts w:cs="Arial"/>
        </w:rPr>
      </w:pPr>
      <w:r w:rsidRPr="00CE58AE">
        <w:rPr>
          <w:rFonts w:cs="Arial"/>
        </w:rPr>
        <w:t xml:space="preserve">The Report covers </w:t>
      </w:r>
      <w:r w:rsidR="00C20262">
        <w:rPr>
          <w:rFonts w:cs="Arial"/>
        </w:rPr>
        <w:t xml:space="preserve">the Office’s </w:t>
      </w:r>
      <w:r w:rsidRPr="00CE58AE">
        <w:rPr>
          <w:rFonts w:cs="Arial"/>
        </w:rPr>
        <w:t xml:space="preserve">activities </w:t>
      </w:r>
      <w:r w:rsidR="00C20262">
        <w:rPr>
          <w:rFonts w:cs="Arial"/>
        </w:rPr>
        <w:t xml:space="preserve">for the </w:t>
      </w:r>
      <w:r w:rsidR="00C20262" w:rsidRPr="00F47E6D">
        <w:rPr>
          <w:rFonts w:cs="Arial"/>
        </w:rPr>
        <w:t xml:space="preserve">period of </w:t>
      </w:r>
      <w:r w:rsidR="00C20262">
        <w:rPr>
          <w:rFonts w:cs="Arial"/>
        </w:rPr>
        <w:t xml:space="preserve">1 January 2017 through </w:t>
      </w:r>
      <w:r w:rsidR="00C20262" w:rsidRPr="00F47E6D">
        <w:rPr>
          <w:rFonts w:cs="Arial"/>
        </w:rPr>
        <w:t xml:space="preserve">to </w:t>
      </w:r>
      <w:r w:rsidR="00C20262">
        <w:rPr>
          <w:rFonts w:cs="Arial"/>
        </w:rPr>
        <w:t>31 December 2017</w:t>
      </w:r>
      <w:r w:rsidRPr="00CE58AE">
        <w:rPr>
          <w:rFonts w:cs="Arial"/>
        </w:rPr>
        <w:t xml:space="preserve">. The Report also includes a number of observations about the governance, development and operation of wind farm projects along with preliminary recommendations for consideration. </w:t>
      </w:r>
    </w:p>
    <w:p w14:paraId="5F4DF3E4" w14:textId="77777777" w:rsidR="005874E7" w:rsidRPr="00CE58AE" w:rsidRDefault="005874E7" w:rsidP="00C20262">
      <w:pPr>
        <w:spacing w:line="264" w:lineRule="auto"/>
        <w:rPr>
          <w:rFonts w:cs="Arial"/>
        </w:rPr>
      </w:pPr>
      <w:r w:rsidRPr="00CE58AE">
        <w:rPr>
          <w:rFonts w:cs="Arial"/>
        </w:rPr>
        <w:t>I look forward to discussing the Report with stakeholders in due course.</w:t>
      </w:r>
    </w:p>
    <w:p w14:paraId="283ED950" w14:textId="77777777" w:rsidR="005874E7" w:rsidRPr="00CE58AE" w:rsidRDefault="005874E7" w:rsidP="005874E7">
      <w:pPr>
        <w:spacing w:after="120" w:line="240" w:lineRule="auto"/>
        <w:rPr>
          <w:rFonts w:cs="Arial"/>
        </w:rPr>
      </w:pPr>
      <w:r w:rsidRPr="00CE58AE">
        <w:rPr>
          <w:rFonts w:cs="Arial"/>
        </w:rPr>
        <w:t>Sincerely</w:t>
      </w:r>
    </w:p>
    <w:p w14:paraId="0E23A83C" w14:textId="77777777" w:rsidR="005874E7" w:rsidRPr="00CE58AE" w:rsidRDefault="005874E7" w:rsidP="005874E7">
      <w:pPr>
        <w:spacing w:after="120" w:line="240" w:lineRule="auto"/>
        <w:rPr>
          <w:rFonts w:cs="Arial"/>
        </w:rPr>
      </w:pPr>
      <w:r w:rsidRPr="00CE58AE">
        <w:rPr>
          <w:rFonts w:cs="Arial"/>
          <w:noProof/>
          <w:lang w:eastAsia="en-AU"/>
        </w:rPr>
        <w:drawing>
          <wp:anchor distT="0" distB="0" distL="114300" distR="114300" simplePos="0" relativeHeight="251661312" behindDoc="0" locked="0" layoutInCell="1" allowOverlap="1" wp14:anchorId="2C1AA977" wp14:editId="15E3F221">
            <wp:simplePos x="460858" y="5859475"/>
            <wp:positionH relativeFrom="column">
              <wp:align>left</wp:align>
            </wp:positionH>
            <wp:positionV relativeFrom="paragraph">
              <wp:align>top</wp:align>
            </wp:positionV>
            <wp:extent cx="857250" cy="586699"/>
            <wp:effectExtent l="0" t="0" r="0" b="4445"/>
            <wp:wrapSquare wrapText="bothSides"/>
            <wp:docPr id="10" name="Picture 10" descr="\\pvac01file02\user$\A19544\Profile\Desktop\Private\Andrew Dyers Signatu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vac01file02\user$\A19544\Profile\Desktop\Private\Andrew Dyers Signature 2.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586699"/>
                    </a:xfrm>
                    <a:prstGeom prst="rect">
                      <a:avLst/>
                    </a:prstGeom>
                    <a:noFill/>
                    <a:ln>
                      <a:noFill/>
                    </a:ln>
                  </pic:spPr>
                </pic:pic>
              </a:graphicData>
            </a:graphic>
          </wp:anchor>
        </w:drawing>
      </w:r>
      <w:r w:rsidRPr="00CE58AE">
        <w:rPr>
          <w:rFonts w:cs="Arial"/>
        </w:rPr>
        <w:br w:type="textWrapping" w:clear="all"/>
        <w:t>Andrew Dyer</w:t>
      </w:r>
    </w:p>
    <w:p w14:paraId="08F9B4EE" w14:textId="77777777" w:rsidR="005874E7" w:rsidRPr="00CE58AE" w:rsidRDefault="005874E7" w:rsidP="005874E7">
      <w:pPr>
        <w:spacing w:after="120" w:line="240" w:lineRule="auto"/>
        <w:rPr>
          <w:rFonts w:cs="Arial"/>
        </w:rPr>
      </w:pPr>
      <w:r w:rsidRPr="00CE58AE">
        <w:rPr>
          <w:rFonts w:cs="Arial"/>
        </w:rPr>
        <w:t>National Wind Farm Commissioner</w:t>
      </w:r>
    </w:p>
    <w:p w14:paraId="6E9ECB9A" w14:textId="77777777" w:rsidR="005874E7" w:rsidRDefault="005874E7" w:rsidP="005874E7"/>
    <w:p w14:paraId="5CF5B52D" w14:textId="77777777" w:rsidR="005874E7" w:rsidRDefault="005874E7" w:rsidP="005874E7">
      <w:pPr>
        <w:sectPr w:rsidR="005874E7" w:rsidSect="00C90C75">
          <w:headerReference w:type="even" r:id="rId12"/>
          <w:headerReference w:type="default" r:id="rId13"/>
          <w:headerReference w:type="first" r:id="rId14"/>
          <w:footerReference w:type="first" r:id="rId15"/>
          <w:pgSz w:w="11906" w:h="16838"/>
          <w:pgMar w:top="720" w:right="720" w:bottom="720" w:left="720" w:header="454" w:footer="425" w:gutter="0"/>
          <w:cols w:space="708"/>
          <w:titlePg/>
          <w:docGrid w:linePitch="360"/>
        </w:sectPr>
      </w:pPr>
    </w:p>
    <w:p w14:paraId="59345E48" w14:textId="77777777" w:rsidR="005874E7" w:rsidRPr="00F47E6D" w:rsidRDefault="005874E7" w:rsidP="005874E7">
      <w:pPr>
        <w:pStyle w:val="Heading1"/>
        <w:tabs>
          <w:tab w:val="left" w:pos="4455"/>
        </w:tabs>
      </w:pPr>
      <w:bookmarkStart w:id="1" w:name="_Toc511140596"/>
      <w:r w:rsidRPr="00F47E6D">
        <w:lastRenderedPageBreak/>
        <w:t>Contents</w:t>
      </w:r>
      <w:bookmarkEnd w:id="1"/>
      <w:r>
        <w:tab/>
      </w:r>
    </w:p>
    <w:sdt>
      <w:sdtPr>
        <w:rPr>
          <w:rFonts w:ascii="Arial" w:eastAsia="Calibri" w:hAnsi="Arial" w:cs="Times New Roman"/>
          <w:color w:val="auto"/>
          <w:sz w:val="22"/>
          <w:szCs w:val="22"/>
          <w:lang w:val="en-AU"/>
        </w:rPr>
        <w:id w:val="-1004362484"/>
        <w:docPartObj>
          <w:docPartGallery w:val="Table of Contents"/>
          <w:docPartUnique/>
        </w:docPartObj>
      </w:sdtPr>
      <w:sdtEndPr>
        <w:rPr>
          <w:b/>
          <w:bCs/>
          <w:noProof/>
        </w:rPr>
      </w:sdtEndPr>
      <w:sdtContent>
        <w:p w14:paraId="4911CF51" w14:textId="77777777" w:rsidR="005874E7" w:rsidRDefault="005874E7" w:rsidP="005874E7">
          <w:pPr>
            <w:pStyle w:val="TOCHeading"/>
          </w:pPr>
        </w:p>
        <w:p w14:paraId="3E3E1734" w14:textId="77777777" w:rsidR="00C82001" w:rsidRDefault="005874E7">
          <w:pPr>
            <w:pStyle w:val="TOC1"/>
            <w:tabs>
              <w:tab w:val="right" w:leader="dot" w:pos="10456"/>
            </w:tabs>
            <w:rPr>
              <w:rFonts w:eastAsiaTheme="minorEastAsia" w:cstheme="minorBidi"/>
              <w:b w:val="0"/>
              <w:bCs w:val="0"/>
              <w:caps w:val="0"/>
              <w:noProof/>
              <w:sz w:val="22"/>
              <w:szCs w:val="22"/>
              <w:lang w:eastAsia="en-AU"/>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511140596" w:history="1">
            <w:r w:rsidR="00C82001" w:rsidRPr="00A67B39">
              <w:rPr>
                <w:rStyle w:val="Hyperlink"/>
                <w:noProof/>
              </w:rPr>
              <w:t>Contents</w:t>
            </w:r>
            <w:r w:rsidR="00C82001">
              <w:rPr>
                <w:noProof/>
                <w:webHidden/>
              </w:rPr>
              <w:tab/>
            </w:r>
            <w:r w:rsidR="00C82001">
              <w:rPr>
                <w:noProof/>
                <w:webHidden/>
              </w:rPr>
              <w:fldChar w:fldCharType="begin"/>
            </w:r>
            <w:r w:rsidR="00C82001">
              <w:rPr>
                <w:noProof/>
                <w:webHidden/>
              </w:rPr>
              <w:instrText xml:space="preserve"> PAGEREF _Toc511140596 \h </w:instrText>
            </w:r>
            <w:r w:rsidR="00C82001">
              <w:rPr>
                <w:noProof/>
                <w:webHidden/>
              </w:rPr>
            </w:r>
            <w:r w:rsidR="00C82001">
              <w:rPr>
                <w:noProof/>
                <w:webHidden/>
              </w:rPr>
              <w:fldChar w:fldCharType="separate"/>
            </w:r>
            <w:r w:rsidR="006F23F3">
              <w:rPr>
                <w:noProof/>
                <w:webHidden/>
              </w:rPr>
              <w:t>3</w:t>
            </w:r>
            <w:r w:rsidR="00C82001">
              <w:rPr>
                <w:noProof/>
                <w:webHidden/>
              </w:rPr>
              <w:fldChar w:fldCharType="end"/>
            </w:r>
          </w:hyperlink>
        </w:p>
        <w:p w14:paraId="6F0D08A5" w14:textId="77777777" w:rsidR="00C82001" w:rsidRDefault="006F23F3">
          <w:pPr>
            <w:pStyle w:val="TOC1"/>
            <w:tabs>
              <w:tab w:val="right" w:leader="dot" w:pos="10456"/>
            </w:tabs>
            <w:rPr>
              <w:rFonts w:eastAsiaTheme="minorEastAsia" w:cstheme="minorBidi"/>
              <w:b w:val="0"/>
              <w:bCs w:val="0"/>
              <w:caps w:val="0"/>
              <w:noProof/>
              <w:sz w:val="22"/>
              <w:szCs w:val="22"/>
              <w:lang w:eastAsia="en-AU"/>
            </w:rPr>
          </w:pPr>
          <w:hyperlink w:anchor="_Toc511140597" w:history="1">
            <w:r w:rsidR="00C82001" w:rsidRPr="00A67B39">
              <w:rPr>
                <w:rStyle w:val="Hyperlink"/>
                <w:noProof/>
              </w:rPr>
              <w:t>Commissioner’s review</w:t>
            </w:r>
            <w:r w:rsidR="00C82001">
              <w:rPr>
                <w:noProof/>
                <w:webHidden/>
              </w:rPr>
              <w:tab/>
            </w:r>
            <w:r w:rsidR="00C82001">
              <w:rPr>
                <w:noProof/>
                <w:webHidden/>
              </w:rPr>
              <w:fldChar w:fldCharType="begin"/>
            </w:r>
            <w:r w:rsidR="00C82001">
              <w:rPr>
                <w:noProof/>
                <w:webHidden/>
              </w:rPr>
              <w:instrText xml:space="preserve"> PAGEREF _Toc511140597 \h </w:instrText>
            </w:r>
            <w:r w:rsidR="00C82001">
              <w:rPr>
                <w:noProof/>
                <w:webHidden/>
              </w:rPr>
            </w:r>
            <w:r w:rsidR="00C82001">
              <w:rPr>
                <w:noProof/>
                <w:webHidden/>
              </w:rPr>
              <w:fldChar w:fldCharType="separate"/>
            </w:r>
            <w:r>
              <w:rPr>
                <w:noProof/>
                <w:webHidden/>
              </w:rPr>
              <w:t>4</w:t>
            </w:r>
            <w:r w:rsidR="00C82001">
              <w:rPr>
                <w:noProof/>
                <w:webHidden/>
              </w:rPr>
              <w:fldChar w:fldCharType="end"/>
            </w:r>
          </w:hyperlink>
        </w:p>
        <w:p w14:paraId="62118B37" w14:textId="77777777" w:rsidR="00C82001" w:rsidRDefault="006F23F3">
          <w:pPr>
            <w:pStyle w:val="TOC2"/>
            <w:tabs>
              <w:tab w:val="right" w:leader="dot" w:pos="10456"/>
            </w:tabs>
            <w:rPr>
              <w:rFonts w:eastAsiaTheme="minorEastAsia" w:cstheme="minorBidi"/>
              <w:smallCaps w:val="0"/>
              <w:noProof/>
              <w:sz w:val="22"/>
              <w:szCs w:val="22"/>
              <w:lang w:eastAsia="en-AU"/>
            </w:rPr>
          </w:pPr>
          <w:hyperlink w:anchor="_Toc511140598" w:history="1">
            <w:r w:rsidR="00C82001" w:rsidRPr="00A67B39">
              <w:rPr>
                <w:rStyle w:val="Hyperlink"/>
                <w:noProof/>
              </w:rPr>
              <w:t>The Year in Review</w:t>
            </w:r>
            <w:r w:rsidR="00C82001">
              <w:rPr>
                <w:noProof/>
                <w:webHidden/>
              </w:rPr>
              <w:tab/>
            </w:r>
            <w:r w:rsidR="00C82001">
              <w:rPr>
                <w:noProof/>
                <w:webHidden/>
              </w:rPr>
              <w:fldChar w:fldCharType="begin"/>
            </w:r>
            <w:r w:rsidR="00C82001">
              <w:rPr>
                <w:noProof/>
                <w:webHidden/>
              </w:rPr>
              <w:instrText xml:space="preserve"> PAGEREF _Toc511140598 \h </w:instrText>
            </w:r>
            <w:r w:rsidR="00C82001">
              <w:rPr>
                <w:noProof/>
                <w:webHidden/>
              </w:rPr>
            </w:r>
            <w:r w:rsidR="00C82001">
              <w:rPr>
                <w:noProof/>
                <w:webHidden/>
              </w:rPr>
              <w:fldChar w:fldCharType="separate"/>
            </w:r>
            <w:r>
              <w:rPr>
                <w:noProof/>
                <w:webHidden/>
              </w:rPr>
              <w:t>4</w:t>
            </w:r>
            <w:r w:rsidR="00C82001">
              <w:rPr>
                <w:noProof/>
                <w:webHidden/>
              </w:rPr>
              <w:fldChar w:fldCharType="end"/>
            </w:r>
          </w:hyperlink>
        </w:p>
        <w:p w14:paraId="56169EC3" w14:textId="77777777" w:rsidR="00C82001" w:rsidRDefault="006F23F3">
          <w:pPr>
            <w:pStyle w:val="TOC2"/>
            <w:tabs>
              <w:tab w:val="right" w:leader="dot" w:pos="10456"/>
            </w:tabs>
            <w:rPr>
              <w:rFonts w:eastAsiaTheme="minorEastAsia" w:cstheme="minorBidi"/>
              <w:smallCaps w:val="0"/>
              <w:noProof/>
              <w:sz w:val="22"/>
              <w:szCs w:val="22"/>
              <w:lang w:eastAsia="en-AU"/>
            </w:rPr>
          </w:pPr>
          <w:hyperlink w:anchor="_Toc511140599" w:history="1">
            <w:r w:rsidR="00C82001" w:rsidRPr="00A67B39">
              <w:rPr>
                <w:rStyle w:val="Hyperlink"/>
                <w:noProof/>
              </w:rPr>
              <w:t>The Year Ahead</w:t>
            </w:r>
            <w:r w:rsidR="00C82001">
              <w:rPr>
                <w:noProof/>
                <w:webHidden/>
              </w:rPr>
              <w:tab/>
            </w:r>
            <w:r w:rsidR="00C82001">
              <w:rPr>
                <w:noProof/>
                <w:webHidden/>
              </w:rPr>
              <w:fldChar w:fldCharType="begin"/>
            </w:r>
            <w:r w:rsidR="00C82001">
              <w:rPr>
                <w:noProof/>
                <w:webHidden/>
              </w:rPr>
              <w:instrText xml:space="preserve"> PAGEREF _Toc511140599 \h </w:instrText>
            </w:r>
            <w:r w:rsidR="00C82001">
              <w:rPr>
                <w:noProof/>
                <w:webHidden/>
              </w:rPr>
            </w:r>
            <w:r w:rsidR="00C82001">
              <w:rPr>
                <w:noProof/>
                <w:webHidden/>
              </w:rPr>
              <w:fldChar w:fldCharType="separate"/>
            </w:r>
            <w:r>
              <w:rPr>
                <w:noProof/>
                <w:webHidden/>
              </w:rPr>
              <w:t>5</w:t>
            </w:r>
            <w:r w:rsidR="00C82001">
              <w:rPr>
                <w:noProof/>
                <w:webHidden/>
              </w:rPr>
              <w:fldChar w:fldCharType="end"/>
            </w:r>
          </w:hyperlink>
        </w:p>
        <w:p w14:paraId="3CD57A41" w14:textId="77777777" w:rsidR="00C82001" w:rsidRDefault="006F23F3">
          <w:pPr>
            <w:pStyle w:val="TOC1"/>
            <w:tabs>
              <w:tab w:val="right" w:leader="dot" w:pos="10456"/>
            </w:tabs>
            <w:rPr>
              <w:rFonts w:eastAsiaTheme="minorEastAsia" w:cstheme="minorBidi"/>
              <w:b w:val="0"/>
              <w:bCs w:val="0"/>
              <w:caps w:val="0"/>
              <w:noProof/>
              <w:sz w:val="22"/>
              <w:szCs w:val="22"/>
              <w:lang w:eastAsia="en-AU"/>
            </w:rPr>
          </w:pPr>
          <w:hyperlink w:anchor="_Toc511140600" w:history="1">
            <w:r w:rsidR="00C82001" w:rsidRPr="00A67B39">
              <w:rPr>
                <w:rStyle w:val="Hyperlink"/>
                <w:noProof/>
              </w:rPr>
              <w:t>Overview</w:t>
            </w:r>
            <w:r w:rsidR="00C82001">
              <w:rPr>
                <w:noProof/>
                <w:webHidden/>
              </w:rPr>
              <w:tab/>
            </w:r>
            <w:r w:rsidR="00C82001">
              <w:rPr>
                <w:noProof/>
                <w:webHidden/>
              </w:rPr>
              <w:fldChar w:fldCharType="begin"/>
            </w:r>
            <w:r w:rsidR="00C82001">
              <w:rPr>
                <w:noProof/>
                <w:webHidden/>
              </w:rPr>
              <w:instrText xml:space="preserve"> PAGEREF _Toc511140600 \h </w:instrText>
            </w:r>
            <w:r w:rsidR="00C82001">
              <w:rPr>
                <w:noProof/>
                <w:webHidden/>
              </w:rPr>
            </w:r>
            <w:r w:rsidR="00C82001">
              <w:rPr>
                <w:noProof/>
                <w:webHidden/>
              </w:rPr>
              <w:fldChar w:fldCharType="separate"/>
            </w:r>
            <w:r>
              <w:rPr>
                <w:noProof/>
                <w:webHidden/>
              </w:rPr>
              <w:t>7</w:t>
            </w:r>
            <w:r w:rsidR="00C82001">
              <w:rPr>
                <w:noProof/>
                <w:webHidden/>
              </w:rPr>
              <w:fldChar w:fldCharType="end"/>
            </w:r>
          </w:hyperlink>
        </w:p>
        <w:p w14:paraId="64BFDA2A" w14:textId="77777777" w:rsidR="00C82001" w:rsidRDefault="006F23F3">
          <w:pPr>
            <w:pStyle w:val="TOC2"/>
            <w:tabs>
              <w:tab w:val="right" w:leader="dot" w:pos="10456"/>
            </w:tabs>
            <w:rPr>
              <w:rFonts w:eastAsiaTheme="minorEastAsia" w:cstheme="minorBidi"/>
              <w:smallCaps w:val="0"/>
              <w:noProof/>
              <w:sz w:val="22"/>
              <w:szCs w:val="22"/>
              <w:lang w:eastAsia="en-AU"/>
            </w:rPr>
          </w:pPr>
          <w:hyperlink w:anchor="_Toc511140601" w:history="1">
            <w:r w:rsidR="00C82001" w:rsidRPr="00A67B39">
              <w:rPr>
                <w:rStyle w:val="Hyperlink"/>
                <w:noProof/>
              </w:rPr>
              <w:t>What We Do</w:t>
            </w:r>
            <w:r w:rsidR="00C82001">
              <w:rPr>
                <w:noProof/>
                <w:webHidden/>
              </w:rPr>
              <w:tab/>
            </w:r>
            <w:r w:rsidR="00C82001">
              <w:rPr>
                <w:noProof/>
                <w:webHidden/>
              </w:rPr>
              <w:fldChar w:fldCharType="begin"/>
            </w:r>
            <w:r w:rsidR="00C82001">
              <w:rPr>
                <w:noProof/>
                <w:webHidden/>
              </w:rPr>
              <w:instrText xml:space="preserve"> PAGEREF _Toc511140601 \h </w:instrText>
            </w:r>
            <w:r w:rsidR="00C82001">
              <w:rPr>
                <w:noProof/>
                <w:webHidden/>
              </w:rPr>
            </w:r>
            <w:r w:rsidR="00C82001">
              <w:rPr>
                <w:noProof/>
                <w:webHidden/>
              </w:rPr>
              <w:fldChar w:fldCharType="separate"/>
            </w:r>
            <w:r>
              <w:rPr>
                <w:noProof/>
                <w:webHidden/>
              </w:rPr>
              <w:t>7</w:t>
            </w:r>
            <w:r w:rsidR="00C82001">
              <w:rPr>
                <w:noProof/>
                <w:webHidden/>
              </w:rPr>
              <w:fldChar w:fldCharType="end"/>
            </w:r>
          </w:hyperlink>
        </w:p>
        <w:p w14:paraId="2F217332" w14:textId="77777777" w:rsidR="00C82001" w:rsidRDefault="006F23F3">
          <w:pPr>
            <w:pStyle w:val="TOC2"/>
            <w:tabs>
              <w:tab w:val="right" w:leader="dot" w:pos="10456"/>
            </w:tabs>
            <w:rPr>
              <w:rFonts w:eastAsiaTheme="minorEastAsia" w:cstheme="minorBidi"/>
              <w:smallCaps w:val="0"/>
              <w:noProof/>
              <w:sz w:val="22"/>
              <w:szCs w:val="22"/>
              <w:lang w:eastAsia="en-AU"/>
            </w:rPr>
          </w:pPr>
          <w:hyperlink w:anchor="_Toc511140602" w:history="1">
            <w:r w:rsidR="00C82001" w:rsidRPr="00A67B39">
              <w:rPr>
                <w:rStyle w:val="Hyperlink"/>
                <w:noProof/>
              </w:rPr>
              <w:t>Who We Are</w:t>
            </w:r>
            <w:r w:rsidR="00C82001">
              <w:rPr>
                <w:noProof/>
                <w:webHidden/>
              </w:rPr>
              <w:tab/>
            </w:r>
            <w:r w:rsidR="00C82001">
              <w:rPr>
                <w:noProof/>
                <w:webHidden/>
              </w:rPr>
              <w:fldChar w:fldCharType="begin"/>
            </w:r>
            <w:r w:rsidR="00C82001">
              <w:rPr>
                <w:noProof/>
                <w:webHidden/>
              </w:rPr>
              <w:instrText xml:space="preserve"> PAGEREF _Toc511140602 \h </w:instrText>
            </w:r>
            <w:r w:rsidR="00C82001">
              <w:rPr>
                <w:noProof/>
                <w:webHidden/>
              </w:rPr>
            </w:r>
            <w:r w:rsidR="00C82001">
              <w:rPr>
                <w:noProof/>
                <w:webHidden/>
              </w:rPr>
              <w:fldChar w:fldCharType="separate"/>
            </w:r>
            <w:r>
              <w:rPr>
                <w:noProof/>
                <w:webHidden/>
              </w:rPr>
              <w:t>7</w:t>
            </w:r>
            <w:r w:rsidR="00C82001">
              <w:rPr>
                <w:noProof/>
                <w:webHidden/>
              </w:rPr>
              <w:fldChar w:fldCharType="end"/>
            </w:r>
          </w:hyperlink>
        </w:p>
        <w:p w14:paraId="314D1B42" w14:textId="77777777" w:rsidR="00C82001" w:rsidRDefault="006F23F3">
          <w:pPr>
            <w:pStyle w:val="TOC2"/>
            <w:tabs>
              <w:tab w:val="right" w:leader="dot" w:pos="10456"/>
            </w:tabs>
            <w:rPr>
              <w:rFonts w:eastAsiaTheme="minorEastAsia" w:cstheme="minorBidi"/>
              <w:smallCaps w:val="0"/>
              <w:noProof/>
              <w:sz w:val="22"/>
              <w:szCs w:val="22"/>
              <w:lang w:eastAsia="en-AU"/>
            </w:rPr>
          </w:pPr>
          <w:hyperlink w:anchor="_Toc511140603" w:history="1">
            <w:r w:rsidR="00C82001" w:rsidRPr="00A67B39">
              <w:rPr>
                <w:rStyle w:val="Hyperlink"/>
                <w:noProof/>
              </w:rPr>
              <w:t>Office Location</w:t>
            </w:r>
            <w:r w:rsidR="00C82001">
              <w:rPr>
                <w:noProof/>
                <w:webHidden/>
              </w:rPr>
              <w:tab/>
            </w:r>
            <w:r w:rsidR="00C82001">
              <w:rPr>
                <w:noProof/>
                <w:webHidden/>
              </w:rPr>
              <w:fldChar w:fldCharType="begin"/>
            </w:r>
            <w:r w:rsidR="00C82001">
              <w:rPr>
                <w:noProof/>
                <w:webHidden/>
              </w:rPr>
              <w:instrText xml:space="preserve"> PAGEREF _Toc511140603 \h </w:instrText>
            </w:r>
            <w:r w:rsidR="00C82001">
              <w:rPr>
                <w:noProof/>
                <w:webHidden/>
              </w:rPr>
            </w:r>
            <w:r w:rsidR="00C82001">
              <w:rPr>
                <w:noProof/>
                <w:webHidden/>
              </w:rPr>
              <w:fldChar w:fldCharType="separate"/>
            </w:r>
            <w:r>
              <w:rPr>
                <w:noProof/>
                <w:webHidden/>
              </w:rPr>
              <w:t>7</w:t>
            </w:r>
            <w:r w:rsidR="00C82001">
              <w:rPr>
                <w:noProof/>
                <w:webHidden/>
              </w:rPr>
              <w:fldChar w:fldCharType="end"/>
            </w:r>
          </w:hyperlink>
        </w:p>
        <w:p w14:paraId="761B8180" w14:textId="77777777" w:rsidR="00C82001" w:rsidRDefault="006F23F3">
          <w:pPr>
            <w:pStyle w:val="TOC1"/>
            <w:tabs>
              <w:tab w:val="right" w:leader="dot" w:pos="10456"/>
            </w:tabs>
            <w:rPr>
              <w:rFonts w:eastAsiaTheme="minorEastAsia" w:cstheme="minorBidi"/>
              <w:b w:val="0"/>
              <w:bCs w:val="0"/>
              <w:caps w:val="0"/>
              <w:noProof/>
              <w:sz w:val="22"/>
              <w:szCs w:val="22"/>
              <w:lang w:eastAsia="en-AU"/>
            </w:rPr>
          </w:pPr>
          <w:hyperlink w:anchor="_Toc511140604" w:history="1">
            <w:r w:rsidR="00C82001" w:rsidRPr="00A67B39">
              <w:rPr>
                <w:rStyle w:val="Hyperlink"/>
                <w:noProof/>
              </w:rPr>
              <w:t>Complaint Management</w:t>
            </w:r>
            <w:r w:rsidR="00C82001">
              <w:rPr>
                <w:noProof/>
                <w:webHidden/>
              </w:rPr>
              <w:tab/>
            </w:r>
            <w:r w:rsidR="00C82001">
              <w:rPr>
                <w:noProof/>
                <w:webHidden/>
              </w:rPr>
              <w:fldChar w:fldCharType="begin"/>
            </w:r>
            <w:r w:rsidR="00C82001">
              <w:rPr>
                <w:noProof/>
                <w:webHidden/>
              </w:rPr>
              <w:instrText xml:space="preserve"> PAGEREF _Toc511140604 \h </w:instrText>
            </w:r>
            <w:r w:rsidR="00C82001">
              <w:rPr>
                <w:noProof/>
                <w:webHidden/>
              </w:rPr>
            </w:r>
            <w:r w:rsidR="00C82001">
              <w:rPr>
                <w:noProof/>
                <w:webHidden/>
              </w:rPr>
              <w:fldChar w:fldCharType="separate"/>
            </w:r>
            <w:r>
              <w:rPr>
                <w:noProof/>
                <w:webHidden/>
              </w:rPr>
              <w:t>8</w:t>
            </w:r>
            <w:r w:rsidR="00C82001">
              <w:rPr>
                <w:noProof/>
                <w:webHidden/>
              </w:rPr>
              <w:fldChar w:fldCharType="end"/>
            </w:r>
          </w:hyperlink>
        </w:p>
        <w:p w14:paraId="1843F321" w14:textId="77777777" w:rsidR="00C82001" w:rsidRDefault="006F23F3">
          <w:pPr>
            <w:pStyle w:val="TOC2"/>
            <w:tabs>
              <w:tab w:val="right" w:leader="dot" w:pos="10456"/>
            </w:tabs>
            <w:rPr>
              <w:rFonts w:eastAsiaTheme="minorEastAsia" w:cstheme="minorBidi"/>
              <w:smallCaps w:val="0"/>
              <w:noProof/>
              <w:sz w:val="22"/>
              <w:szCs w:val="22"/>
              <w:lang w:eastAsia="en-AU"/>
            </w:rPr>
          </w:pPr>
          <w:hyperlink w:anchor="_Toc511140605" w:history="1">
            <w:r w:rsidR="00C82001" w:rsidRPr="00A67B39">
              <w:rPr>
                <w:rStyle w:val="Hyperlink"/>
                <w:noProof/>
              </w:rPr>
              <w:t>Complaint Management Process</w:t>
            </w:r>
            <w:r w:rsidR="00C82001">
              <w:rPr>
                <w:noProof/>
                <w:webHidden/>
              </w:rPr>
              <w:tab/>
            </w:r>
            <w:r w:rsidR="00C82001">
              <w:rPr>
                <w:noProof/>
                <w:webHidden/>
              </w:rPr>
              <w:fldChar w:fldCharType="begin"/>
            </w:r>
            <w:r w:rsidR="00C82001">
              <w:rPr>
                <w:noProof/>
                <w:webHidden/>
              </w:rPr>
              <w:instrText xml:space="preserve"> PAGEREF _Toc511140605 \h </w:instrText>
            </w:r>
            <w:r w:rsidR="00C82001">
              <w:rPr>
                <w:noProof/>
                <w:webHidden/>
              </w:rPr>
            </w:r>
            <w:r w:rsidR="00C82001">
              <w:rPr>
                <w:noProof/>
                <w:webHidden/>
              </w:rPr>
              <w:fldChar w:fldCharType="separate"/>
            </w:r>
            <w:r>
              <w:rPr>
                <w:noProof/>
                <w:webHidden/>
              </w:rPr>
              <w:t>8</w:t>
            </w:r>
            <w:r w:rsidR="00C82001">
              <w:rPr>
                <w:noProof/>
                <w:webHidden/>
              </w:rPr>
              <w:fldChar w:fldCharType="end"/>
            </w:r>
          </w:hyperlink>
        </w:p>
        <w:p w14:paraId="01D2F48F" w14:textId="77777777" w:rsidR="00C82001" w:rsidRDefault="006F23F3">
          <w:pPr>
            <w:pStyle w:val="TOC2"/>
            <w:tabs>
              <w:tab w:val="right" w:leader="dot" w:pos="10456"/>
            </w:tabs>
            <w:rPr>
              <w:rFonts w:eastAsiaTheme="minorEastAsia" w:cstheme="minorBidi"/>
              <w:smallCaps w:val="0"/>
              <w:noProof/>
              <w:sz w:val="22"/>
              <w:szCs w:val="22"/>
              <w:lang w:eastAsia="en-AU"/>
            </w:rPr>
          </w:pPr>
          <w:hyperlink w:anchor="_Toc511140606" w:history="1">
            <w:r w:rsidR="00C82001" w:rsidRPr="00A67B39">
              <w:rPr>
                <w:rStyle w:val="Hyperlink"/>
                <w:noProof/>
                <w:lang w:eastAsia="en-AU"/>
              </w:rPr>
              <w:t>Complaints Handling Policy</w:t>
            </w:r>
            <w:r w:rsidR="00C82001">
              <w:rPr>
                <w:noProof/>
                <w:webHidden/>
              </w:rPr>
              <w:tab/>
            </w:r>
            <w:r w:rsidR="00C82001">
              <w:rPr>
                <w:noProof/>
                <w:webHidden/>
              </w:rPr>
              <w:fldChar w:fldCharType="begin"/>
            </w:r>
            <w:r w:rsidR="00C82001">
              <w:rPr>
                <w:noProof/>
                <w:webHidden/>
              </w:rPr>
              <w:instrText xml:space="preserve"> PAGEREF _Toc511140606 \h </w:instrText>
            </w:r>
            <w:r w:rsidR="00C82001">
              <w:rPr>
                <w:noProof/>
                <w:webHidden/>
              </w:rPr>
            </w:r>
            <w:r w:rsidR="00C82001">
              <w:rPr>
                <w:noProof/>
                <w:webHidden/>
              </w:rPr>
              <w:fldChar w:fldCharType="separate"/>
            </w:r>
            <w:r>
              <w:rPr>
                <w:noProof/>
                <w:webHidden/>
              </w:rPr>
              <w:t>8</w:t>
            </w:r>
            <w:r w:rsidR="00C82001">
              <w:rPr>
                <w:noProof/>
                <w:webHidden/>
              </w:rPr>
              <w:fldChar w:fldCharType="end"/>
            </w:r>
          </w:hyperlink>
        </w:p>
        <w:p w14:paraId="14FCD4F0" w14:textId="77777777" w:rsidR="00C82001" w:rsidRDefault="006F23F3">
          <w:pPr>
            <w:pStyle w:val="TOC2"/>
            <w:tabs>
              <w:tab w:val="right" w:leader="dot" w:pos="10456"/>
            </w:tabs>
            <w:rPr>
              <w:rFonts w:eastAsiaTheme="minorEastAsia" w:cstheme="minorBidi"/>
              <w:smallCaps w:val="0"/>
              <w:noProof/>
              <w:sz w:val="22"/>
              <w:szCs w:val="22"/>
              <w:lang w:eastAsia="en-AU"/>
            </w:rPr>
          </w:pPr>
          <w:hyperlink w:anchor="_Toc511140607" w:history="1">
            <w:r w:rsidR="00C82001" w:rsidRPr="00A67B39">
              <w:rPr>
                <w:rStyle w:val="Hyperlink"/>
                <w:noProof/>
              </w:rPr>
              <w:t>Complaint Activity</w:t>
            </w:r>
            <w:r w:rsidR="00C82001">
              <w:rPr>
                <w:noProof/>
                <w:webHidden/>
              </w:rPr>
              <w:tab/>
            </w:r>
            <w:r w:rsidR="00C82001">
              <w:rPr>
                <w:noProof/>
                <w:webHidden/>
              </w:rPr>
              <w:fldChar w:fldCharType="begin"/>
            </w:r>
            <w:r w:rsidR="00C82001">
              <w:rPr>
                <w:noProof/>
                <w:webHidden/>
              </w:rPr>
              <w:instrText xml:space="preserve"> PAGEREF _Toc511140607 \h </w:instrText>
            </w:r>
            <w:r w:rsidR="00C82001">
              <w:rPr>
                <w:noProof/>
                <w:webHidden/>
              </w:rPr>
            </w:r>
            <w:r w:rsidR="00C82001">
              <w:rPr>
                <w:noProof/>
                <w:webHidden/>
              </w:rPr>
              <w:fldChar w:fldCharType="separate"/>
            </w:r>
            <w:r>
              <w:rPr>
                <w:noProof/>
                <w:webHidden/>
              </w:rPr>
              <w:t>9</w:t>
            </w:r>
            <w:r w:rsidR="00C82001">
              <w:rPr>
                <w:noProof/>
                <w:webHidden/>
              </w:rPr>
              <w:fldChar w:fldCharType="end"/>
            </w:r>
          </w:hyperlink>
        </w:p>
        <w:p w14:paraId="4281BD80" w14:textId="77777777" w:rsidR="00C82001" w:rsidRDefault="006F23F3">
          <w:pPr>
            <w:pStyle w:val="TOC2"/>
            <w:tabs>
              <w:tab w:val="right" w:leader="dot" w:pos="10456"/>
            </w:tabs>
            <w:rPr>
              <w:rFonts w:eastAsiaTheme="minorEastAsia" w:cstheme="minorBidi"/>
              <w:smallCaps w:val="0"/>
              <w:noProof/>
              <w:sz w:val="22"/>
              <w:szCs w:val="22"/>
              <w:lang w:eastAsia="en-AU"/>
            </w:rPr>
          </w:pPr>
          <w:hyperlink w:anchor="_Toc511140608" w:history="1">
            <w:r w:rsidR="00C82001" w:rsidRPr="00A67B39">
              <w:rPr>
                <w:rStyle w:val="Hyperlink"/>
                <w:noProof/>
              </w:rPr>
              <w:t>Proposed Wind Farms versus Operating Wind Farms</w:t>
            </w:r>
            <w:r w:rsidR="00C82001">
              <w:rPr>
                <w:noProof/>
                <w:webHidden/>
              </w:rPr>
              <w:tab/>
            </w:r>
            <w:r w:rsidR="00C82001">
              <w:rPr>
                <w:noProof/>
                <w:webHidden/>
              </w:rPr>
              <w:fldChar w:fldCharType="begin"/>
            </w:r>
            <w:r w:rsidR="00C82001">
              <w:rPr>
                <w:noProof/>
                <w:webHidden/>
              </w:rPr>
              <w:instrText xml:space="preserve"> PAGEREF _Toc511140608 \h </w:instrText>
            </w:r>
            <w:r w:rsidR="00C82001">
              <w:rPr>
                <w:noProof/>
                <w:webHidden/>
              </w:rPr>
            </w:r>
            <w:r w:rsidR="00C82001">
              <w:rPr>
                <w:noProof/>
                <w:webHidden/>
              </w:rPr>
              <w:fldChar w:fldCharType="separate"/>
            </w:r>
            <w:r>
              <w:rPr>
                <w:noProof/>
                <w:webHidden/>
              </w:rPr>
              <w:t>9</w:t>
            </w:r>
            <w:r w:rsidR="00C82001">
              <w:rPr>
                <w:noProof/>
                <w:webHidden/>
              </w:rPr>
              <w:fldChar w:fldCharType="end"/>
            </w:r>
          </w:hyperlink>
        </w:p>
        <w:p w14:paraId="064FBED4" w14:textId="77777777" w:rsidR="00C82001" w:rsidRDefault="006F23F3">
          <w:pPr>
            <w:pStyle w:val="TOC2"/>
            <w:tabs>
              <w:tab w:val="right" w:leader="dot" w:pos="10456"/>
            </w:tabs>
            <w:rPr>
              <w:rFonts w:eastAsiaTheme="minorEastAsia" w:cstheme="minorBidi"/>
              <w:smallCaps w:val="0"/>
              <w:noProof/>
              <w:sz w:val="22"/>
              <w:szCs w:val="22"/>
              <w:lang w:eastAsia="en-AU"/>
            </w:rPr>
          </w:pPr>
          <w:hyperlink w:anchor="_Toc511140609" w:history="1">
            <w:r w:rsidR="00C82001" w:rsidRPr="00A67B39">
              <w:rPr>
                <w:rStyle w:val="Hyperlink"/>
                <w:noProof/>
              </w:rPr>
              <w:t>Operating Wind Farms – Complaints in 2017</w:t>
            </w:r>
            <w:r w:rsidR="00C82001">
              <w:rPr>
                <w:noProof/>
                <w:webHidden/>
              </w:rPr>
              <w:tab/>
            </w:r>
            <w:r w:rsidR="00C82001">
              <w:rPr>
                <w:noProof/>
                <w:webHidden/>
              </w:rPr>
              <w:fldChar w:fldCharType="begin"/>
            </w:r>
            <w:r w:rsidR="00C82001">
              <w:rPr>
                <w:noProof/>
                <w:webHidden/>
              </w:rPr>
              <w:instrText xml:space="preserve"> PAGEREF _Toc511140609 \h </w:instrText>
            </w:r>
            <w:r w:rsidR="00C82001">
              <w:rPr>
                <w:noProof/>
                <w:webHidden/>
              </w:rPr>
            </w:r>
            <w:r w:rsidR="00C82001">
              <w:rPr>
                <w:noProof/>
                <w:webHidden/>
              </w:rPr>
              <w:fldChar w:fldCharType="separate"/>
            </w:r>
            <w:r>
              <w:rPr>
                <w:noProof/>
                <w:webHidden/>
              </w:rPr>
              <w:t>10</w:t>
            </w:r>
            <w:r w:rsidR="00C82001">
              <w:rPr>
                <w:noProof/>
                <w:webHidden/>
              </w:rPr>
              <w:fldChar w:fldCharType="end"/>
            </w:r>
          </w:hyperlink>
        </w:p>
        <w:p w14:paraId="3C589100" w14:textId="77777777" w:rsidR="00C82001" w:rsidRDefault="006F23F3">
          <w:pPr>
            <w:pStyle w:val="TOC2"/>
            <w:tabs>
              <w:tab w:val="right" w:leader="dot" w:pos="10456"/>
            </w:tabs>
            <w:rPr>
              <w:rFonts w:eastAsiaTheme="minorEastAsia" w:cstheme="minorBidi"/>
              <w:smallCaps w:val="0"/>
              <w:noProof/>
              <w:sz w:val="22"/>
              <w:szCs w:val="22"/>
              <w:lang w:eastAsia="en-AU"/>
            </w:rPr>
          </w:pPr>
          <w:hyperlink w:anchor="_Toc511140610" w:history="1">
            <w:r w:rsidR="00C82001" w:rsidRPr="00A67B39">
              <w:rPr>
                <w:rStyle w:val="Hyperlink"/>
                <w:noProof/>
              </w:rPr>
              <w:t>Proposed Wind Farms – Complaints in 2017</w:t>
            </w:r>
            <w:r w:rsidR="00C82001">
              <w:rPr>
                <w:noProof/>
                <w:webHidden/>
              </w:rPr>
              <w:tab/>
            </w:r>
            <w:r w:rsidR="00C82001">
              <w:rPr>
                <w:noProof/>
                <w:webHidden/>
              </w:rPr>
              <w:fldChar w:fldCharType="begin"/>
            </w:r>
            <w:r w:rsidR="00C82001">
              <w:rPr>
                <w:noProof/>
                <w:webHidden/>
              </w:rPr>
              <w:instrText xml:space="preserve"> PAGEREF _Toc511140610 \h </w:instrText>
            </w:r>
            <w:r w:rsidR="00C82001">
              <w:rPr>
                <w:noProof/>
                <w:webHidden/>
              </w:rPr>
            </w:r>
            <w:r w:rsidR="00C82001">
              <w:rPr>
                <w:noProof/>
                <w:webHidden/>
              </w:rPr>
              <w:fldChar w:fldCharType="separate"/>
            </w:r>
            <w:r>
              <w:rPr>
                <w:noProof/>
                <w:webHidden/>
              </w:rPr>
              <w:t>11</w:t>
            </w:r>
            <w:r w:rsidR="00C82001">
              <w:rPr>
                <w:noProof/>
                <w:webHidden/>
              </w:rPr>
              <w:fldChar w:fldCharType="end"/>
            </w:r>
          </w:hyperlink>
        </w:p>
        <w:p w14:paraId="2CBF7981" w14:textId="77777777" w:rsidR="00C82001" w:rsidRDefault="006F23F3">
          <w:pPr>
            <w:pStyle w:val="TOC2"/>
            <w:tabs>
              <w:tab w:val="right" w:leader="dot" w:pos="10456"/>
            </w:tabs>
            <w:rPr>
              <w:rFonts w:eastAsiaTheme="minorEastAsia" w:cstheme="minorBidi"/>
              <w:smallCaps w:val="0"/>
              <w:noProof/>
              <w:sz w:val="22"/>
              <w:szCs w:val="22"/>
              <w:lang w:eastAsia="en-AU"/>
            </w:rPr>
          </w:pPr>
          <w:hyperlink w:anchor="_Toc511140611" w:history="1">
            <w:r w:rsidR="00C82001" w:rsidRPr="00A67B39">
              <w:rPr>
                <w:rStyle w:val="Hyperlink"/>
                <w:noProof/>
              </w:rPr>
              <w:t>Issues Raised in 2017</w:t>
            </w:r>
            <w:r w:rsidR="00C82001">
              <w:rPr>
                <w:noProof/>
                <w:webHidden/>
              </w:rPr>
              <w:tab/>
            </w:r>
            <w:r w:rsidR="00C82001">
              <w:rPr>
                <w:noProof/>
                <w:webHidden/>
              </w:rPr>
              <w:fldChar w:fldCharType="begin"/>
            </w:r>
            <w:r w:rsidR="00C82001">
              <w:rPr>
                <w:noProof/>
                <w:webHidden/>
              </w:rPr>
              <w:instrText xml:space="preserve"> PAGEREF _Toc511140611 \h </w:instrText>
            </w:r>
            <w:r w:rsidR="00C82001">
              <w:rPr>
                <w:noProof/>
                <w:webHidden/>
              </w:rPr>
            </w:r>
            <w:r w:rsidR="00C82001">
              <w:rPr>
                <w:noProof/>
                <w:webHidden/>
              </w:rPr>
              <w:fldChar w:fldCharType="separate"/>
            </w:r>
            <w:r>
              <w:rPr>
                <w:noProof/>
                <w:webHidden/>
              </w:rPr>
              <w:t>13</w:t>
            </w:r>
            <w:r w:rsidR="00C82001">
              <w:rPr>
                <w:noProof/>
                <w:webHidden/>
              </w:rPr>
              <w:fldChar w:fldCharType="end"/>
            </w:r>
          </w:hyperlink>
        </w:p>
        <w:p w14:paraId="48A50ECC" w14:textId="77777777" w:rsidR="00C82001" w:rsidRDefault="006F23F3">
          <w:pPr>
            <w:pStyle w:val="TOC2"/>
            <w:tabs>
              <w:tab w:val="right" w:leader="dot" w:pos="10456"/>
            </w:tabs>
            <w:rPr>
              <w:rFonts w:eastAsiaTheme="minorEastAsia" w:cstheme="minorBidi"/>
              <w:smallCaps w:val="0"/>
              <w:noProof/>
              <w:sz w:val="22"/>
              <w:szCs w:val="22"/>
              <w:lang w:eastAsia="en-AU"/>
            </w:rPr>
          </w:pPr>
          <w:hyperlink w:anchor="_Toc511140612" w:history="1">
            <w:r w:rsidR="00C82001" w:rsidRPr="00A67B39">
              <w:rPr>
                <w:rStyle w:val="Hyperlink"/>
                <w:noProof/>
              </w:rPr>
              <w:t>Resolutions and Closure</w:t>
            </w:r>
            <w:r w:rsidR="00C82001">
              <w:rPr>
                <w:noProof/>
                <w:webHidden/>
              </w:rPr>
              <w:tab/>
            </w:r>
            <w:r w:rsidR="00C82001">
              <w:rPr>
                <w:noProof/>
                <w:webHidden/>
              </w:rPr>
              <w:fldChar w:fldCharType="begin"/>
            </w:r>
            <w:r w:rsidR="00C82001">
              <w:rPr>
                <w:noProof/>
                <w:webHidden/>
              </w:rPr>
              <w:instrText xml:space="preserve"> PAGEREF _Toc511140612 \h </w:instrText>
            </w:r>
            <w:r w:rsidR="00C82001">
              <w:rPr>
                <w:noProof/>
                <w:webHidden/>
              </w:rPr>
            </w:r>
            <w:r w:rsidR="00C82001">
              <w:rPr>
                <w:noProof/>
                <w:webHidden/>
              </w:rPr>
              <w:fldChar w:fldCharType="separate"/>
            </w:r>
            <w:r>
              <w:rPr>
                <w:noProof/>
                <w:webHidden/>
              </w:rPr>
              <w:t>14</w:t>
            </w:r>
            <w:r w:rsidR="00C82001">
              <w:rPr>
                <w:noProof/>
                <w:webHidden/>
              </w:rPr>
              <w:fldChar w:fldCharType="end"/>
            </w:r>
          </w:hyperlink>
        </w:p>
        <w:p w14:paraId="7F358624" w14:textId="77777777" w:rsidR="00C82001" w:rsidRDefault="006F23F3">
          <w:pPr>
            <w:pStyle w:val="TOC1"/>
            <w:tabs>
              <w:tab w:val="right" w:leader="dot" w:pos="10456"/>
            </w:tabs>
            <w:rPr>
              <w:rFonts w:eastAsiaTheme="minorEastAsia" w:cstheme="minorBidi"/>
              <w:b w:val="0"/>
              <w:bCs w:val="0"/>
              <w:caps w:val="0"/>
              <w:noProof/>
              <w:sz w:val="22"/>
              <w:szCs w:val="22"/>
              <w:lang w:eastAsia="en-AU"/>
            </w:rPr>
          </w:pPr>
          <w:hyperlink w:anchor="_Toc511140613" w:history="1">
            <w:r w:rsidR="00C82001" w:rsidRPr="00A67B39">
              <w:rPr>
                <w:rStyle w:val="Hyperlink"/>
                <w:noProof/>
              </w:rPr>
              <w:t>Stakeholder Engagement</w:t>
            </w:r>
            <w:r w:rsidR="00C82001">
              <w:rPr>
                <w:noProof/>
                <w:webHidden/>
              </w:rPr>
              <w:tab/>
            </w:r>
            <w:r w:rsidR="00C82001">
              <w:rPr>
                <w:noProof/>
                <w:webHidden/>
              </w:rPr>
              <w:fldChar w:fldCharType="begin"/>
            </w:r>
            <w:r w:rsidR="00C82001">
              <w:rPr>
                <w:noProof/>
                <w:webHidden/>
              </w:rPr>
              <w:instrText xml:space="preserve"> PAGEREF _Toc511140613 \h </w:instrText>
            </w:r>
            <w:r w:rsidR="00C82001">
              <w:rPr>
                <w:noProof/>
                <w:webHidden/>
              </w:rPr>
            </w:r>
            <w:r w:rsidR="00C82001">
              <w:rPr>
                <w:noProof/>
                <w:webHidden/>
              </w:rPr>
              <w:fldChar w:fldCharType="separate"/>
            </w:r>
            <w:r>
              <w:rPr>
                <w:noProof/>
                <w:webHidden/>
              </w:rPr>
              <w:t>16</w:t>
            </w:r>
            <w:r w:rsidR="00C82001">
              <w:rPr>
                <w:noProof/>
                <w:webHidden/>
              </w:rPr>
              <w:fldChar w:fldCharType="end"/>
            </w:r>
          </w:hyperlink>
        </w:p>
        <w:p w14:paraId="436811B5" w14:textId="77777777" w:rsidR="00C82001" w:rsidRDefault="006F23F3">
          <w:pPr>
            <w:pStyle w:val="TOC2"/>
            <w:tabs>
              <w:tab w:val="right" w:leader="dot" w:pos="10456"/>
            </w:tabs>
            <w:rPr>
              <w:rFonts w:eastAsiaTheme="minorEastAsia" w:cstheme="minorBidi"/>
              <w:smallCaps w:val="0"/>
              <w:noProof/>
              <w:sz w:val="22"/>
              <w:szCs w:val="22"/>
              <w:lang w:eastAsia="en-AU"/>
            </w:rPr>
          </w:pPr>
          <w:hyperlink w:anchor="_Toc511140614" w:history="1">
            <w:r w:rsidR="00C82001" w:rsidRPr="00A67B39">
              <w:rPr>
                <w:rStyle w:val="Hyperlink"/>
                <w:noProof/>
              </w:rPr>
              <w:t>How Have We Engaged With Stakeholders</w:t>
            </w:r>
            <w:r w:rsidR="00C82001">
              <w:rPr>
                <w:noProof/>
                <w:webHidden/>
              </w:rPr>
              <w:tab/>
            </w:r>
            <w:r w:rsidR="00C82001">
              <w:rPr>
                <w:noProof/>
                <w:webHidden/>
              </w:rPr>
              <w:fldChar w:fldCharType="begin"/>
            </w:r>
            <w:r w:rsidR="00C82001">
              <w:rPr>
                <w:noProof/>
                <w:webHidden/>
              </w:rPr>
              <w:instrText xml:space="preserve"> PAGEREF _Toc511140614 \h </w:instrText>
            </w:r>
            <w:r w:rsidR="00C82001">
              <w:rPr>
                <w:noProof/>
                <w:webHidden/>
              </w:rPr>
            </w:r>
            <w:r w:rsidR="00C82001">
              <w:rPr>
                <w:noProof/>
                <w:webHidden/>
              </w:rPr>
              <w:fldChar w:fldCharType="separate"/>
            </w:r>
            <w:r>
              <w:rPr>
                <w:noProof/>
                <w:webHidden/>
              </w:rPr>
              <w:t>16</w:t>
            </w:r>
            <w:r w:rsidR="00C82001">
              <w:rPr>
                <w:noProof/>
                <w:webHidden/>
              </w:rPr>
              <w:fldChar w:fldCharType="end"/>
            </w:r>
          </w:hyperlink>
        </w:p>
        <w:p w14:paraId="0A7C25B3" w14:textId="77777777" w:rsidR="00C82001" w:rsidRDefault="006F23F3">
          <w:pPr>
            <w:pStyle w:val="TOC3"/>
            <w:tabs>
              <w:tab w:val="right" w:leader="dot" w:pos="10456"/>
            </w:tabs>
            <w:rPr>
              <w:rFonts w:eastAsiaTheme="minorEastAsia" w:cstheme="minorBidi"/>
              <w:i w:val="0"/>
              <w:iCs w:val="0"/>
              <w:noProof/>
              <w:sz w:val="22"/>
              <w:szCs w:val="22"/>
              <w:lang w:eastAsia="en-AU"/>
            </w:rPr>
          </w:pPr>
          <w:hyperlink w:anchor="_Toc511140615" w:history="1">
            <w:r w:rsidR="00C82001" w:rsidRPr="00A67B39">
              <w:rPr>
                <w:rStyle w:val="Hyperlink"/>
                <w:noProof/>
              </w:rPr>
              <w:t>Community Associations and Residents</w:t>
            </w:r>
            <w:r w:rsidR="00C82001">
              <w:rPr>
                <w:noProof/>
                <w:webHidden/>
              </w:rPr>
              <w:tab/>
            </w:r>
            <w:r w:rsidR="00C82001">
              <w:rPr>
                <w:noProof/>
                <w:webHidden/>
              </w:rPr>
              <w:fldChar w:fldCharType="begin"/>
            </w:r>
            <w:r w:rsidR="00C82001">
              <w:rPr>
                <w:noProof/>
                <w:webHidden/>
              </w:rPr>
              <w:instrText xml:space="preserve"> PAGEREF _Toc511140615 \h </w:instrText>
            </w:r>
            <w:r w:rsidR="00C82001">
              <w:rPr>
                <w:noProof/>
                <w:webHidden/>
              </w:rPr>
            </w:r>
            <w:r w:rsidR="00C82001">
              <w:rPr>
                <w:noProof/>
                <w:webHidden/>
              </w:rPr>
              <w:fldChar w:fldCharType="separate"/>
            </w:r>
            <w:r>
              <w:rPr>
                <w:noProof/>
                <w:webHidden/>
              </w:rPr>
              <w:t>16</w:t>
            </w:r>
            <w:r w:rsidR="00C82001">
              <w:rPr>
                <w:noProof/>
                <w:webHidden/>
              </w:rPr>
              <w:fldChar w:fldCharType="end"/>
            </w:r>
          </w:hyperlink>
        </w:p>
        <w:p w14:paraId="57BEE871" w14:textId="77777777" w:rsidR="00C82001" w:rsidRDefault="006F23F3">
          <w:pPr>
            <w:pStyle w:val="TOC3"/>
            <w:tabs>
              <w:tab w:val="right" w:leader="dot" w:pos="10456"/>
            </w:tabs>
            <w:rPr>
              <w:rFonts w:eastAsiaTheme="minorEastAsia" w:cstheme="minorBidi"/>
              <w:i w:val="0"/>
              <w:iCs w:val="0"/>
              <w:noProof/>
              <w:sz w:val="22"/>
              <w:szCs w:val="22"/>
              <w:lang w:eastAsia="en-AU"/>
            </w:rPr>
          </w:pPr>
          <w:hyperlink w:anchor="_Toc511140616" w:history="1">
            <w:r w:rsidR="00C82001" w:rsidRPr="00A67B39">
              <w:rPr>
                <w:rStyle w:val="Hyperlink"/>
                <w:noProof/>
              </w:rPr>
              <w:t>Industry</w:t>
            </w:r>
            <w:r w:rsidR="00C82001">
              <w:rPr>
                <w:noProof/>
                <w:webHidden/>
              </w:rPr>
              <w:tab/>
            </w:r>
            <w:r w:rsidR="00C82001">
              <w:rPr>
                <w:noProof/>
                <w:webHidden/>
              </w:rPr>
              <w:fldChar w:fldCharType="begin"/>
            </w:r>
            <w:r w:rsidR="00C82001">
              <w:rPr>
                <w:noProof/>
                <w:webHidden/>
              </w:rPr>
              <w:instrText xml:space="preserve"> PAGEREF _Toc511140616 \h </w:instrText>
            </w:r>
            <w:r w:rsidR="00C82001">
              <w:rPr>
                <w:noProof/>
                <w:webHidden/>
              </w:rPr>
            </w:r>
            <w:r w:rsidR="00C82001">
              <w:rPr>
                <w:noProof/>
                <w:webHidden/>
              </w:rPr>
              <w:fldChar w:fldCharType="separate"/>
            </w:r>
            <w:r>
              <w:rPr>
                <w:noProof/>
                <w:webHidden/>
              </w:rPr>
              <w:t>17</w:t>
            </w:r>
            <w:r w:rsidR="00C82001">
              <w:rPr>
                <w:noProof/>
                <w:webHidden/>
              </w:rPr>
              <w:fldChar w:fldCharType="end"/>
            </w:r>
          </w:hyperlink>
        </w:p>
        <w:p w14:paraId="51E81B87" w14:textId="77777777" w:rsidR="00C82001" w:rsidRDefault="006F23F3">
          <w:pPr>
            <w:pStyle w:val="TOC3"/>
            <w:tabs>
              <w:tab w:val="right" w:leader="dot" w:pos="10456"/>
            </w:tabs>
            <w:rPr>
              <w:rFonts w:eastAsiaTheme="minorEastAsia" w:cstheme="minorBidi"/>
              <w:i w:val="0"/>
              <w:iCs w:val="0"/>
              <w:noProof/>
              <w:sz w:val="22"/>
              <w:szCs w:val="22"/>
              <w:lang w:eastAsia="en-AU"/>
            </w:rPr>
          </w:pPr>
          <w:hyperlink w:anchor="_Toc511140617" w:history="1">
            <w:r w:rsidR="00C82001" w:rsidRPr="00A67B39">
              <w:rPr>
                <w:rStyle w:val="Hyperlink"/>
                <w:noProof/>
              </w:rPr>
              <w:t>Government</w:t>
            </w:r>
            <w:r w:rsidR="00C82001">
              <w:rPr>
                <w:noProof/>
                <w:webHidden/>
              </w:rPr>
              <w:tab/>
            </w:r>
            <w:r w:rsidR="00C82001">
              <w:rPr>
                <w:noProof/>
                <w:webHidden/>
              </w:rPr>
              <w:fldChar w:fldCharType="begin"/>
            </w:r>
            <w:r w:rsidR="00C82001">
              <w:rPr>
                <w:noProof/>
                <w:webHidden/>
              </w:rPr>
              <w:instrText xml:space="preserve"> PAGEREF _Toc511140617 \h </w:instrText>
            </w:r>
            <w:r w:rsidR="00C82001">
              <w:rPr>
                <w:noProof/>
                <w:webHidden/>
              </w:rPr>
            </w:r>
            <w:r w:rsidR="00C82001">
              <w:rPr>
                <w:noProof/>
                <w:webHidden/>
              </w:rPr>
              <w:fldChar w:fldCharType="separate"/>
            </w:r>
            <w:r>
              <w:rPr>
                <w:noProof/>
                <w:webHidden/>
              </w:rPr>
              <w:t>18</w:t>
            </w:r>
            <w:r w:rsidR="00C82001">
              <w:rPr>
                <w:noProof/>
                <w:webHidden/>
              </w:rPr>
              <w:fldChar w:fldCharType="end"/>
            </w:r>
          </w:hyperlink>
        </w:p>
        <w:p w14:paraId="5074FA23" w14:textId="77777777" w:rsidR="00C82001" w:rsidRDefault="006F23F3">
          <w:pPr>
            <w:pStyle w:val="TOC3"/>
            <w:tabs>
              <w:tab w:val="right" w:leader="dot" w:pos="10456"/>
            </w:tabs>
            <w:rPr>
              <w:rFonts w:eastAsiaTheme="minorEastAsia" w:cstheme="minorBidi"/>
              <w:i w:val="0"/>
              <w:iCs w:val="0"/>
              <w:noProof/>
              <w:sz w:val="22"/>
              <w:szCs w:val="22"/>
              <w:lang w:eastAsia="en-AU"/>
            </w:rPr>
          </w:pPr>
          <w:hyperlink w:anchor="_Toc511140618" w:history="1">
            <w:r w:rsidR="00C82001" w:rsidRPr="00A67B39">
              <w:rPr>
                <w:rStyle w:val="Hyperlink"/>
                <w:noProof/>
              </w:rPr>
              <w:t>Universities and Experts</w:t>
            </w:r>
            <w:r w:rsidR="00C82001">
              <w:rPr>
                <w:noProof/>
                <w:webHidden/>
              </w:rPr>
              <w:tab/>
            </w:r>
            <w:r w:rsidR="00C82001">
              <w:rPr>
                <w:noProof/>
                <w:webHidden/>
              </w:rPr>
              <w:fldChar w:fldCharType="begin"/>
            </w:r>
            <w:r w:rsidR="00C82001">
              <w:rPr>
                <w:noProof/>
                <w:webHidden/>
              </w:rPr>
              <w:instrText xml:space="preserve"> PAGEREF _Toc511140618 \h </w:instrText>
            </w:r>
            <w:r w:rsidR="00C82001">
              <w:rPr>
                <w:noProof/>
                <w:webHidden/>
              </w:rPr>
            </w:r>
            <w:r w:rsidR="00C82001">
              <w:rPr>
                <w:noProof/>
                <w:webHidden/>
              </w:rPr>
              <w:fldChar w:fldCharType="separate"/>
            </w:r>
            <w:r>
              <w:rPr>
                <w:noProof/>
                <w:webHidden/>
              </w:rPr>
              <w:t>18</w:t>
            </w:r>
            <w:r w:rsidR="00C82001">
              <w:rPr>
                <w:noProof/>
                <w:webHidden/>
              </w:rPr>
              <w:fldChar w:fldCharType="end"/>
            </w:r>
          </w:hyperlink>
        </w:p>
        <w:p w14:paraId="32ACE05D" w14:textId="77777777" w:rsidR="00C82001" w:rsidRDefault="006F23F3">
          <w:pPr>
            <w:pStyle w:val="TOC3"/>
            <w:tabs>
              <w:tab w:val="right" w:leader="dot" w:pos="10456"/>
            </w:tabs>
            <w:rPr>
              <w:rFonts w:eastAsiaTheme="minorEastAsia" w:cstheme="minorBidi"/>
              <w:i w:val="0"/>
              <w:iCs w:val="0"/>
              <w:noProof/>
              <w:sz w:val="22"/>
              <w:szCs w:val="22"/>
              <w:lang w:eastAsia="en-AU"/>
            </w:rPr>
          </w:pPr>
          <w:hyperlink w:anchor="_Toc511140619" w:history="1">
            <w:r w:rsidR="00C82001" w:rsidRPr="00A67B39">
              <w:rPr>
                <w:rStyle w:val="Hyperlink"/>
                <w:noProof/>
              </w:rPr>
              <w:t>2016 Annual Report</w:t>
            </w:r>
            <w:r w:rsidR="00C82001">
              <w:rPr>
                <w:noProof/>
                <w:webHidden/>
              </w:rPr>
              <w:tab/>
            </w:r>
            <w:r w:rsidR="00C82001">
              <w:rPr>
                <w:noProof/>
                <w:webHidden/>
              </w:rPr>
              <w:fldChar w:fldCharType="begin"/>
            </w:r>
            <w:r w:rsidR="00C82001">
              <w:rPr>
                <w:noProof/>
                <w:webHidden/>
              </w:rPr>
              <w:instrText xml:space="preserve"> PAGEREF _Toc511140619 \h </w:instrText>
            </w:r>
            <w:r w:rsidR="00C82001">
              <w:rPr>
                <w:noProof/>
                <w:webHidden/>
              </w:rPr>
            </w:r>
            <w:r w:rsidR="00C82001">
              <w:rPr>
                <w:noProof/>
                <w:webHidden/>
              </w:rPr>
              <w:fldChar w:fldCharType="separate"/>
            </w:r>
            <w:r>
              <w:rPr>
                <w:noProof/>
                <w:webHidden/>
              </w:rPr>
              <w:t>18</w:t>
            </w:r>
            <w:r w:rsidR="00C82001">
              <w:rPr>
                <w:noProof/>
                <w:webHidden/>
              </w:rPr>
              <w:fldChar w:fldCharType="end"/>
            </w:r>
          </w:hyperlink>
        </w:p>
        <w:p w14:paraId="2D282CD9" w14:textId="77777777" w:rsidR="00C82001" w:rsidRDefault="006F23F3">
          <w:pPr>
            <w:pStyle w:val="TOC3"/>
            <w:tabs>
              <w:tab w:val="right" w:leader="dot" w:pos="10456"/>
            </w:tabs>
            <w:rPr>
              <w:rFonts w:eastAsiaTheme="minorEastAsia" w:cstheme="minorBidi"/>
              <w:i w:val="0"/>
              <w:iCs w:val="0"/>
              <w:noProof/>
              <w:sz w:val="22"/>
              <w:szCs w:val="22"/>
              <w:lang w:eastAsia="en-AU"/>
            </w:rPr>
          </w:pPr>
          <w:hyperlink w:anchor="_Toc511140620" w:history="1">
            <w:r w:rsidR="00C82001" w:rsidRPr="00A67B39">
              <w:rPr>
                <w:rStyle w:val="Hyperlink"/>
                <w:noProof/>
              </w:rPr>
              <w:t>Presentations and Events</w:t>
            </w:r>
            <w:r w:rsidR="00C82001">
              <w:rPr>
                <w:noProof/>
                <w:webHidden/>
              </w:rPr>
              <w:tab/>
            </w:r>
            <w:r w:rsidR="00C82001">
              <w:rPr>
                <w:noProof/>
                <w:webHidden/>
              </w:rPr>
              <w:fldChar w:fldCharType="begin"/>
            </w:r>
            <w:r w:rsidR="00C82001">
              <w:rPr>
                <w:noProof/>
                <w:webHidden/>
              </w:rPr>
              <w:instrText xml:space="preserve"> PAGEREF _Toc511140620 \h </w:instrText>
            </w:r>
            <w:r w:rsidR="00C82001">
              <w:rPr>
                <w:noProof/>
                <w:webHidden/>
              </w:rPr>
            </w:r>
            <w:r w:rsidR="00C82001">
              <w:rPr>
                <w:noProof/>
                <w:webHidden/>
              </w:rPr>
              <w:fldChar w:fldCharType="separate"/>
            </w:r>
            <w:r>
              <w:rPr>
                <w:noProof/>
                <w:webHidden/>
              </w:rPr>
              <w:t>19</w:t>
            </w:r>
            <w:r w:rsidR="00C82001">
              <w:rPr>
                <w:noProof/>
                <w:webHidden/>
              </w:rPr>
              <w:fldChar w:fldCharType="end"/>
            </w:r>
          </w:hyperlink>
        </w:p>
        <w:p w14:paraId="794D4B3C" w14:textId="77777777" w:rsidR="00C82001" w:rsidRDefault="006F23F3">
          <w:pPr>
            <w:pStyle w:val="TOC2"/>
            <w:tabs>
              <w:tab w:val="right" w:leader="dot" w:pos="10456"/>
            </w:tabs>
            <w:rPr>
              <w:rFonts w:eastAsiaTheme="minorEastAsia" w:cstheme="minorBidi"/>
              <w:smallCaps w:val="0"/>
              <w:noProof/>
              <w:sz w:val="22"/>
              <w:szCs w:val="22"/>
              <w:lang w:eastAsia="en-AU"/>
            </w:rPr>
          </w:pPr>
          <w:hyperlink w:anchor="_Toc511140621" w:history="1">
            <w:r w:rsidR="00C82001" w:rsidRPr="00A67B39">
              <w:rPr>
                <w:rStyle w:val="Hyperlink"/>
                <w:noProof/>
              </w:rPr>
              <w:t>Wind Farms and Communities Visited</w:t>
            </w:r>
            <w:r w:rsidR="00C82001">
              <w:rPr>
                <w:noProof/>
                <w:webHidden/>
              </w:rPr>
              <w:tab/>
            </w:r>
            <w:r w:rsidR="00C82001">
              <w:rPr>
                <w:noProof/>
                <w:webHidden/>
              </w:rPr>
              <w:fldChar w:fldCharType="begin"/>
            </w:r>
            <w:r w:rsidR="00C82001">
              <w:rPr>
                <w:noProof/>
                <w:webHidden/>
              </w:rPr>
              <w:instrText xml:space="preserve"> PAGEREF _Toc511140621 \h </w:instrText>
            </w:r>
            <w:r w:rsidR="00C82001">
              <w:rPr>
                <w:noProof/>
                <w:webHidden/>
              </w:rPr>
            </w:r>
            <w:r w:rsidR="00C82001">
              <w:rPr>
                <w:noProof/>
                <w:webHidden/>
              </w:rPr>
              <w:fldChar w:fldCharType="separate"/>
            </w:r>
            <w:r>
              <w:rPr>
                <w:noProof/>
                <w:webHidden/>
              </w:rPr>
              <w:t>19</w:t>
            </w:r>
            <w:r w:rsidR="00C82001">
              <w:rPr>
                <w:noProof/>
                <w:webHidden/>
              </w:rPr>
              <w:fldChar w:fldCharType="end"/>
            </w:r>
          </w:hyperlink>
        </w:p>
        <w:p w14:paraId="254C24CD" w14:textId="77777777" w:rsidR="00C82001" w:rsidRDefault="006F23F3">
          <w:pPr>
            <w:pStyle w:val="TOC1"/>
            <w:tabs>
              <w:tab w:val="right" w:leader="dot" w:pos="10456"/>
            </w:tabs>
            <w:rPr>
              <w:rFonts w:eastAsiaTheme="minorEastAsia" w:cstheme="minorBidi"/>
              <w:b w:val="0"/>
              <w:bCs w:val="0"/>
              <w:caps w:val="0"/>
              <w:noProof/>
              <w:sz w:val="22"/>
              <w:szCs w:val="22"/>
              <w:lang w:eastAsia="en-AU"/>
            </w:rPr>
          </w:pPr>
          <w:hyperlink w:anchor="_Toc511140622" w:history="1">
            <w:r w:rsidR="00C82001" w:rsidRPr="00A67B39">
              <w:rPr>
                <w:rStyle w:val="Hyperlink"/>
                <w:noProof/>
              </w:rPr>
              <w:t>UPDATED Observations and recommendations</w:t>
            </w:r>
            <w:r w:rsidR="00C82001">
              <w:rPr>
                <w:noProof/>
                <w:webHidden/>
              </w:rPr>
              <w:tab/>
            </w:r>
            <w:r w:rsidR="00C82001">
              <w:rPr>
                <w:noProof/>
                <w:webHidden/>
              </w:rPr>
              <w:fldChar w:fldCharType="begin"/>
            </w:r>
            <w:r w:rsidR="00C82001">
              <w:rPr>
                <w:noProof/>
                <w:webHidden/>
              </w:rPr>
              <w:instrText xml:space="preserve"> PAGEREF _Toc511140622 \h </w:instrText>
            </w:r>
            <w:r w:rsidR="00C82001">
              <w:rPr>
                <w:noProof/>
                <w:webHidden/>
              </w:rPr>
            </w:r>
            <w:r w:rsidR="00C82001">
              <w:rPr>
                <w:noProof/>
                <w:webHidden/>
              </w:rPr>
              <w:fldChar w:fldCharType="separate"/>
            </w:r>
            <w:r>
              <w:rPr>
                <w:noProof/>
                <w:webHidden/>
              </w:rPr>
              <w:t>21</w:t>
            </w:r>
            <w:r w:rsidR="00C82001">
              <w:rPr>
                <w:noProof/>
                <w:webHidden/>
              </w:rPr>
              <w:fldChar w:fldCharType="end"/>
            </w:r>
          </w:hyperlink>
        </w:p>
        <w:p w14:paraId="752C8471" w14:textId="77777777" w:rsidR="00C82001" w:rsidRDefault="006F23F3">
          <w:pPr>
            <w:pStyle w:val="TOC1"/>
            <w:tabs>
              <w:tab w:val="right" w:leader="dot" w:pos="10456"/>
            </w:tabs>
            <w:rPr>
              <w:rFonts w:eastAsiaTheme="minorEastAsia" w:cstheme="minorBidi"/>
              <w:b w:val="0"/>
              <w:bCs w:val="0"/>
              <w:caps w:val="0"/>
              <w:noProof/>
              <w:sz w:val="22"/>
              <w:szCs w:val="22"/>
              <w:lang w:eastAsia="en-AU"/>
            </w:rPr>
          </w:pPr>
          <w:hyperlink w:anchor="_Toc511140623" w:history="1">
            <w:r w:rsidR="00C82001" w:rsidRPr="00A67B39">
              <w:rPr>
                <w:rStyle w:val="Hyperlink"/>
                <w:noProof/>
              </w:rPr>
              <w:t>Glossary</w:t>
            </w:r>
            <w:r w:rsidR="00C82001">
              <w:rPr>
                <w:noProof/>
                <w:webHidden/>
              </w:rPr>
              <w:tab/>
            </w:r>
            <w:r w:rsidR="00C82001">
              <w:rPr>
                <w:noProof/>
                <w:webHidden/>
              </w:rPr>
              <w:fldChar w:fldCharType="begin"/>
            </w:r>
            <w:r w:rsidR="00C82001">
              <w:rPr>
                <w:noProof/>
                <w:webHidden/>
              </w:rPr>
              <w:instrText xml:space="preserve"> PAGEREF _Toc511140623 \h </w:instrText>
            </w:r>
            <w:r w:rsidR="00C82001">
              <w:rPr>
                <w:noProof/>
                <w:webHidden/>
              </w:rPr>
            </w:r>
            <w:r w:rsidR="00C82001">
              <w:rPr>
                <w:noProof/>
                <w:webHidden/>
              </w:rPr>
              <w:fldChar w:fldCharType="separate"/>
            </w:r>
            <w:r>
              <w:rPr>
                <w:noProof/>
                <w:webHidden/>
              </w:rPr>
              <w:t>50</w:t>
            </w:r>
            <w:r w:rsidR="00C82001">
              <w:rPr>
                <w:noProof/>
                <w:webHidden/>
              </w:rPr>
              <w:fldChar w:fldCharType="end"/>
            </w:r>
          </w:hyperlink>
        </w:p>
        <w:p w14:paraId="47E1D731" w14:textId="77777777" w:rsidR="00C82001" w:rsidRDefault="006F23F3">
          <w:pPr>
            <w:pStyle w:val="TOC1"/>
            <w:tabs>
              <w:tab w:val="right" w:leader="dot" w:pos="10456"/>
            </w:tabs>
            <w:rPr>
              <w:rFonts w:eastAsiaTheme="minorEastAsia" w:cstheme="minorBidi"/>
              <w:b w:val="0"/>
              <w:bCs w:val="0"/>
              <w:caps w:val="0"/>
              <w:noProof/>
              <w:sz w:val="22"/>
              <w:szCs w:val="22"/>
              <w:lang w:eastAsia="en-AU"/>
            </w:rPr>
          </w:pPr>
          <w:hyperlink w:anchor="_Toc511140624" w:history="1">
            <w:r w:rsidR="00C82001" w:rsidRPr="00A67B39">
              <w:rPr>
                <w:rStyle w:val="Hyperlink"/>
                <w:noProof/>
              </w:rPr>
              <w:t>Appendix A</w:t>
            </w:r>
            <w:r w:rsidR="00C82001">
              <w:rPr>
                <w:noProof/>
                <w:webHidden/>
              </w:rPr>
              <w:tab/>
            </w:r>
            <w:r w:rsidR="00C82001">
              <w:rPr>
                <w:noProof/>
                <w:webHidden/>
              </w:rPr>
              <w:fldChar w:fldCharType="begin"/>
            </w:r>
            <w:r w:rsidR="00C82001">
              <w:rPr>
                <w:noProof/>
                <w:webHidden/>
              </w:rPr>
              <w:instrText xml:space="preserve"> PAGEREF _Toc511140624 \h </w:instrText>
            </w:r>
            <w:r w:rsidR="00C82001">
              <w:rPr>
                <w:noProof/>
                <w:webHidden/>
              </w:rPr>
            </w:r>
            <w:r w:rsidR="00C82001">
              <w:rPr>
                <w:noProof/>
                <w:webHidden/>
              </w:rPr>
              <w:fldChar w:fldCharType="separate"/>
            </w:r>
            <w:r>
              <w:rPr>
                <w:noProof/>
                <w:webHidden/>
              </w:rPr>
              <w:t>52</w:t>
            </w:r>
            <w:r w:rsidR="00C82001">
              <w:rPr>
                <w:noProof/>
                <w:webHidden/>
              </w:rPr>
              <w:fldChar w:fldCharType="end"/>
            </w:r>
          </w:hyperlink>
        </w:p>
        <w:p w14:paraId="3E093B42" w14:textId="77777777" w:rsidR="00C82001" w:rsidRDefault="006F23F3">
          <w:pPr>
            <w:pStyle w:val="TOC1"/>
            <w:tabs>
              <w:tab w:val="right" w:leader="dot" w:pos="10456"/>
            </w:tabs>
            <w:rPr>
              <w:rFonts w:eastAsiaTheme="minorEastAsia" w:cstheme="minorBidi"/>
              <w:b w:val="0"/>
              <w:bCs w:val="0"/>
              <w:caps w:val="0"/>
              <w:noProof/>
              <w:sz w:val="22"/>
              <w:szCs w:val="22"/>
              <w:lang w:eastAsia="en-AU"/>
            </w:rPr>
          </w:pPr>
          <w:hyperlink w:anchor="_Toc511140625" w:history="1">
            <w:r w:rsidR="00C82001" w:rsidRPr="00A67B39">
              <w:rPr>
                <w:rStyle w:val="Hyperlink"/>
                <w:noProof/>
              </w:rPr>
              <w:t>Appendix B</w:t>
            </w:r>
            <w:r w:rsidR="00C82001">
              <w:rPr>
                <w:noProof/>
                <w:webHidden/>
              </w:rPr>
              <w:tab/>
            </w:r>
            <w:r w:rsidR="00C82001">
              <w:rPr>
                <w:noProof/>
                <w:webHidden/>
              </w:rPr>
              <w:fldChar w:fldCharType="begin"/>
            </w:r>
            <w:r w:rsidR="00C82001">
              <w:rPr>
                <w:noProof/>
                <w:webHidden/>
              </w:rPr>
              <w:instrText xml:space="preserve"> PAGEREF _Toc511140625 \h </w:instrText>
            </w:r>
            <w:r w:rsidR="00C82001">
              <w:rPr>
                <w:noProof/>
                <w:webHidden/>
              </w:rPr>
            </w:r>
            <w:r w:rsidR="00C82001">
              <w:rPr>
                <w:noProof/>
                <w:webHidden/>
              </w:rPr>
              <w:fldChar w:fldCharType="separate"/>
            </w:r>
            <w:r>
              <w:rPr>
                <w:noProof/>
                <w:webHidden/>
              </w:rPr>
              <w:t>53</w:t>
            </w:r>
            <w:r w:rsidR="00C82001">
              <w:rPr>
                <w:noProof/>
                <w:webHidden/>
              </w:rPr>
              <w:fldChar w:fldCharType="end"/>
            </w:r>
          </w:hyperlink>
        </w:p>
        <w:p w14:paraId="03331F42" w14:textId="77777777" w:rsidR="00C82001" w:rsidRDefault="006F23F3">
          <w:pPr>
            <w:pStyle w:val="TOC1"/>
            <w:tabs>
              <w:tab w:val="right" w:leader="dot" w:pos="10456"/>
            </w:tabs>
            <w:rPr>
              <w:rFonts w:eastAsiaTheme="minorEastAsia" w:cstheme="minorBidi"/>
              <w:b w:val="0"/>
              <w:bCs w:val="0"/>
              <w:caps w:val="0"/>
              <w:noProof/>
              <w:sz w:val="22"/>
              <w:szCs w:val="22"/>
              <w:lang w:eastAsia="en-AU"/>
            </w:rPr>
          </w:pPr>
          <w:hyperlink w:anchor="_Toc511140626" w:history="1">
            <w:r w:rsidR="00C82001" w:rsidRPr="00A67B39">
              <w:rPr>
                <w:rStyle w:val="Hyperlink"/>
                <w:noProof/>
              </w:rPr>
              <w:t>Appendix C</w:t>
            </w:r>
            <w:r w:rsidR="00C82001">
              <w:rPr>
                <w:noProof/>
                <w:webHidden/>
              </w:rPr>
              <w:tab/>
            </w:r>
            <w:r w:rsidR="00C82001">
              <w:rPr>
                <w:noProof/>
                <w:webHidden/>
              </w:rPr>
              <w:fldChar w:fldCharType="begin"/>
            </w:r>
            <w:r w:rsidR="00C82001">
              <w:rPr>
                <w:noProof/>
                <w:webHidden/>
              </w:rPr>
              <w:instrText xml:space="preserve"> PAGEREF _Toc511140626 \h </w:instrText>
            </w:r>
            <w:r w:rsidR="00C82001">
              <w:rPr>
                <w:noProof/>
                <w:webHidden/>
              </w:rPr>
            </w:r>
            <w:r w:rsidR="00C82001">
              <w:rPr>
                <w:noProof/>
                <w:webHidden/>
              </w:rPr>
              <w:fldChar w:fldCharType="separate"/>
            </w:r>
            <w:r>
              <w:rPr>
                <w:noProof/>
                <w:webHidden/>
              </w:rPr>
              <w:t>58</w:t>
            </w:r>
            <w:r w:rsidR="00C82001">
              <w:rPr>
                <w:noProof/>
                <w:webHidden/>
              </w:rPr>
              <w:fldChar w:fldCharType="end"/>
            </w:r>
          </w:hyperlink>
        </w:p>
        <w:p w14:paraId="379BFD76" w14:textId="77777777" w:rsidR="005874E7" w:rsidRDefault="005874E7" w:rsidP="005874E7">
          <w:r>
            <w:rPr>
              <w:rFonts w:asciiTheme="minorHAnsi" w:hAnsiTheme="minorHAnsi"/>
              <w:b/>
              <w:bCs/>
              <w:caps/>
              <w:sz w:val="20"/>
              <w:szCs w:val="20"/>
            </w:rPr>
            <w:fldChar w:fldCharType="end"/>
          </w:r>
        </w:p>
      </w:sdtContent>
    </w:sdt>
    <w:p w14:paraId="76577154" w14:textId="77777777" w:rsidR="005874E7" w:rsidRDefault="005874E7" w:rsidP="005874E7">
      <w:pPr>
        <w:pStyle w:val="Heading1"/>
      </w:pPr>
    </w:p>
    <w:p w14:paraId="13A39F13" w14:textId="77777777" w:rsidR="005874E7" w:rsidRDefault="005874E7" w:rsidP="005874E7">
      <w:pPr>
        <w:tabs>
          <w:tab w:val="left" w:pos="4545"/>
        </w:tabs>
      </w:pPr>
      <w:r>
        <w:tab/>
      </w:r>
    </w:p>
    <w:p w14:paraId="071A639D" w14:textId="56067DEB" w:rsidR="005874E7" w:rsidRDefault="005874E7" w:rsidP="00EE0440">
      <w:pPr>
        <w:tabs>
          <w:tab w:val="left" w:pos="3615"/>
          <w:tab w:val="left" w:pos="4545"/>
        </w:tabs>
      </w:pPr>
      <w:r>
        <w:tab/>
      </w:r>
      <w:r w:rsidR="00EE0440">
        <w:tab/>
      </w:r>
    </w:p>
    <w:p w14:paraId="1A6C2AFF" w14:textId="77777777" w:rsidR="005874E7" w:rsidRPr="00D175B1" w:rsidRDefault="005874E7" w:rsidP="005874E7"/>
    <w:p w14:paraId="42BA2B83" w14:textId="52A81CDD" w:rsidR="005874E7" w:rsidRDefault="005E538C" w:rsidP="005E538C">
      <w:pPr>
        <w:tabs>
          <w:tab w:val="left" w:pos="6000"/>
        </w:tabs>
      </w:pPr>
      <w:r>
        <w:tab/>
      </w:r>
    </w:p>
    <w:p w14:paraId="7B24273D" w14:textId="77777777" w:rsidR="005874E7" w:rsidRPr="00D175B1" w:rsidRDefault="005874E7" w:rsidP="005874E7">
      <w:pPr>
        <w:tabs>
          <w:tab w:val="left" w:pos="7396"/>
        </w:tabs>
        <w:sectPr w:rsidR="005874E7" w:rsidRPr="00D175B1" w:rsidSect="00C90C75">
          <w:headerReference w:type="even" r:id="rId16"/>
          <w:headerReference w:type="default" r:id="rId17"/>
          <w:headerReference w:type="first" r:id="rId18"/>
          <w:footerReference w:type="first" r:id="rId19"/>
          <w:pgSz w:w="11906" w:h="16838"/>
          <w:pgMar w:top="720" w:right="720" w:bottom="720" w:left="720" w:header="425" w:footer="425" w:gutter="0"/>
          <w:cols w:space="708"/>
          <w:titlePg/>
          <w:docGrid w:linePitch="360"/>
        </w:sectPr>
      </w:pPr>
      <w:r>
        <w:tab/>
      </w:r>
      <w:r>
        <w:tab/>
      </w:r>
    </w:p>
    <w:p w14:paraId="35024985" w14:textId="77777777" w:rsidR="005874E7" w:rsidRDefault="005874E7" w:rsidP="005874E7">
      <w:pPr>
        <w:pStyle w:val="Heading1"/>
      </w:pPr>
      <w:bookmarkStart w:id="2" w:name="_Toc511140597"/>
      <w:r>
        <w:lastRenderedPageBreak/>
        <w:t>Commissioner’s review</w:t>
      </w:r>
      <w:bookmarkEnd w:id="2"/>
    </w:p>
    <w:p w14:paraId="33CB3E9F" w14:textId="77777777" w:rsidR="005874E7" w:rsidRPr="008A02E9" w:rsidRDefault="005874E7" w:rsidP="005874E7">
      <w:pPr>
        <w:spacing w:line="264" w:lineRule="auto"/>
        <w:rPr>
          <w:rFonts w:cs="Arial"/>
          <w:b/>
          <w:bCs/>
        </w:rPr>
      </w:pPr>
      <w:r w:rsidRPr="008A02E9">
        <w:rPr>
          <w:rFonts w:cs="Arial"/>
          <w:b/>
          <w:bCs/>
        </w:rPr>
        <w:t>Introduction</w:t>
      </w:r>
    </w:p>
    <w:p w14:paraId="00DBD947" w14:textId="6E23610E" w:rsidR="005920B0" w:rsidRPr="00F47E6D" w:rsidRDefault="005920B0" w:rsidP="005920B0">
      <w:pPr>
        <w:spacing w:line="264" w:lineRule="auto"/>
        <w:rPr>
          <w:rFonts w:cs="Arial"/>
        </w:rPr>
      </w:pPr>
      <w:r>
        <w:rPr>
          <w:rFonts w:cs="Arial"/>
        </w:rPr>
        <w:t>T</w:t>
      </w:r>
      <w:r w:rsidRPr="00F47E6D">
        <w:rPr>
          <w:rFonts w:cs="Arial"/>
        </w:rPr>
        <w:t xml:space="preserve">he Office of </w:t>
      </w:r>
      <w:r>
        <w:rPr>
          <w:rFonts w:cs="Arial"/>
        </w:rPr>
        <w:t xml:space="preserve">the </w:t>
      </w:r>
      <w:r w:rsidRPr="00F47E6D">
        <w:rPr>
          <w:rFonts w:cs="Arial"/>
        </w:rPr>
        <w:t>National Wind Farm Commissioner</w:t>
      </w:r>
      <w:r>
        <w:rPr>
          <w:rFonts w:cs="Arial"/>
        </w:rPr>
        <w:t xml:space="preserve"> is pleased to deliver </w:t>
      </w:r>
      <w:r w:rsidR="003529A0">
        <w:rPr>
          <w:rFonts w:cs="Arial"/>
        </w:rPr>
        <w:t>the Commissioner’s</w:t>
      </w:r>
      <w:r w:rsidRPr="00F47E6D">
        <w:rPr>
          <w:rFonts w:cs="Arial"/>
        </w:rPr>
        <w:t xml:space="preserve"> </w:t>
      </w:r>
      <w:r>
        <w:rPr>
          <w:rFonts w:cs="Arial"/>
        </w:rPr>
        <w:t>second annual report</w:t>
      </w:r>
      <w:r w:rsidR="002E62EE">
        <w:rPr>
          <w:rFonts w:cs="Arial"/>
        </w:rPr>
        <w:t xml:space="preserve"> to the Federal Parliament</w:t>
      </w:r>
      <w:r>
        <w:rPr>
          <w:rFonts w:cs="Arial"/>
        </w:rPr>
        <w:t xml:space="preserve">, which covers the Office’s activities for the </w:t>
      </w:r>
      <w:r w:rsidRPr="00F47E6D">
        <w:rPr>
          <w:rFonts w:cs="Arial"/>
        </w:rPr>
        <w:t xml:space="preserve">period of </w:t>
      </w:r>
      <w:r>
        <w:rPr>
          <w:rFonts w:cs="Arial"/>
        </w:rPr>
        <w:t xml:space="preserve">1 January 2017 through </w:t>
      </w:r>
      <w:r w:rsidRPr="00F47E6D">
        <w:rPr>
          <w:rFonts w:cs="Arial"/>
        </w:rPr>
        <w:t xml:space="preserve">to </w:t>
      </w:r>
      <w:r>
        <w:rPr>
          <w:rFonts w:cs="Arial"/>
        </w:rPr>
        <w:t>31 December 2017</w:t>
      </w:r>
      <w:r w:rsidRPr="00F47E6D">
        <w:rPr>
          <w:rFonts w:cs="Arial"/>
        </w:rPr>
        <w:t>.</w:t>
      </w:r>
    </w:p>
    <w:p w14:paraId="0117AEF0" w14:textId="77777777" w:rsidR="00AB7ADD" w:rsidRPr="00F47E6D" w:rsidRDefault="00AB7ADD" w:rsidP="00AB7ADD">
      <w:pPr>
        <w:spacing w:line="264" w:lineRule="auto"/>
        <w:rPr>
          <w:rFonts w:cs="Arial"/>
        </w:rPr>
      </w:pPr>
      <w:r w:rsidRPr="005920B0">
        <w:rPr>
          <w:rFonts w:cs="Arial"/>
        </w:rPr>
        <w:t>The Commissioner’s appointment was announced on 9 October 2015 by the then Minister for the Environment, the Hon Greg Hunt MP. The Commissioner commenced the role in November 2015.</w:t>
      </w:r>
    </w:p>
    <w:p w14:paraId="5FE66A7D" w14:textId="752D15D9" w:rsidR="005874E7" w:rsidRPr="00F47E6D" w:rsidRDefault="00AC4F4F" w:rsidP="005874E7">
      <w:pPr>
        <w:spacing w:line="264" w:lineRule="auto"/>
        <w:rPr>
          <w:rFonts w:cs="Arial"/>
        </w:rPr>
      </w:pPr>
      <w:r>
        <w:rPr>
          <w:rFonts w:cs="Arial"/>
        </w:rPr>
        <w:t>The Commissioner’s</w:t>
      </w:r>
      <w:r w:rsidRPr="00F47E6D">
        <w:rPr>
          <w:rFonts w:cs="Arial"/>
        </w:rPr>
        <w:t xml:space="preserve"> </w:t>
      </w:r>
      <w:r w:rsidR="005874E7">
        <w:rPr>
          <w:rFonts w:cs="Arial"/>
        </w:rPr>
        <w:t>key roles are to:</w:t>
      </w:r>
    </w:p>
    <w:p w14:paraId="2590360C" w14:textId="77777777" w:rsidR="005874E7" w:rsidRPr="00F47E6D" w:rsidRDefault="005874E7" w:rsidP="00C20262">
      <w:pPr>
        <w:pStyle w:val="ListBullet"/>
        <w:numPr>
          <w:ilvl w:val="0"/>
          <w:numId w:val="7"/>
        </w:numPr>
        <w:spacing w:line="264" w:lineRule="auto"/>
        <w:rPr>
          <w:rFonts w:cs="Arial"/>
        </w:rPr>
      </w:pPr>
      <w:r w:rsidRPr="00F47E6D">
        <w:rPr>
          <w:rFonts w:cs="Arial"/>
        </w:rPr>
        <w:t xml:space="preserve">facilitate the referral </w:t>
      </w:r>
      <w:r>
        <w:rPr>
          <w:rFonts w:cs="Arial"/>
        </w:rPr>
        <w:t xml:space="preserve">of </w:t>
      </w:r>
      <w:r w:rsidRPr="00F47E6D">
        <w:rPr>
          <w:rFonts w:cs="Arial"/>
        </w:rPr>
        <w:t xml:space="preserve">complaints from concerned residents </w:t>
      </w:r>
      <w:r>
        <w:rPr>
          <w:rFonts w:cs="Arial"/>
        </w:rPr>
        <w:t>to respondents about o</w:t>
      </w:r>
      <w:r w:rsidRPr="00F47E6D">
        <w:rPr>
          <w:rFonts w:cs="Arial"/>
        </w:rPr>
        <w:t>perating or proposed wind farms</w:t>
      </w:r>
      <w:r>
        <w:rPr>
          <w:rFonts w:cs="Arial"/>
        </w:rPr>
        <w:t xml:space="preserve"> by providing a voluntary process for complaint resolution</w:t>
      </w:r>
    </w:p>
    <w:p w14:paraId="28762EC5" w14:textId="2E5EDFF4" w:rsidR="005874E7" w:rsidRPr="00F47E6D" w:rsidRDefault="005874E7" w:rsidP="00C20262">
      <w:pPr>
        <w:pStyle w:val="ListBullet"/>
        <w:numPr>
          <w:ilvl w:val="0"/>
          <w:numId w:val="7"/>
        </w:numPr>
        <w:spacing w:line="264" w:lineRule="auto"/>
        <w:ind w:left="714" w:hanging="357"/>
        <w:rPr>
          <w:rFonts w:cs="Arial"/>
        </w:rPr>
      </w:pPr>
      <w:r w:rsidRPr="00F47E6D">
        <w:rPr>
          <w:rFonts w:cs="Arial"/>
        </w:rPr>
        <w:t>identify and promote best practices relating to the planning, development and operation of wind farms</w:t>
      </w:r>
      <w:r>
        <w:rPr>
          <w:rFonts w:cs="Arial"/>
        </w:rPr>
        <w:t>,</w:t>
      </w:r>
      <w:r w:rsidRPr="00F47E6D">
        <w:rPr>
          <w:rFonts w:cs="Arial"/>
        </w:rPr>
        <w:t xml:space="preserve"> including </w:t>
      </w:r>
      <w:r>
        <w:rPr>
          <w:rFonts w:cs="Arial"/>
        </w:rPr>
        <w:t xml:space="preserve">practices related to </w:t>
      </w:r>
      <w:r w:rsidRPr="00F47E6D">
        <w:rPr>
          <w:rFonts w:cs="Arial"/>
        </w:rPr>
        <w:t>wind farm compliance and standards, complaint handling and community engagement</w:t>
      </w:r>
      <w:r w:rsidR="002D5A92">
        <w:rPr>
          <w:rFonts w:cs="Arial"/>
        </w:rPr>
        <w:t>, and</w:t>
      </w:r>
    </w:p>
    <w:p w14:paraId="58ED0F2F" w14:textId="4B920648" w:rsidR="005874E7" w:rsidRPr="00F47E6D" w:rsidRDefault="005874E7" w:rsidP="00C20262">
      <w:pPr>
        <w:pStyle w:val="ListBullet"/>
        <w:numPr>
          <w:ilvl w:val="0"/>
          <w:numId w:val="7"/>
        </w:numPr>
        <w:spacing w:line="264" w:lineRule="auto"/>
        <w:rPr>
          <w:rFonts w:cs="Arial"/>
        </w:rPr>
      </w:pPr>
      <w:r w:rsidRPr="00F47E6D">
        <w:rPr>
          <w:rFonts w:cs="Arial"/>
        </w:rPr>
        <w:t xml:space="preserve">provide </w:t>
      </w:r>
      <w:r w:rsidR="00D851BC">
        <w:rPr>
          <w:rFonts w:cs="Arial"/>
        </w:rPr>
        <w:t xml:space="preserve">and encourage </w:t>
      </w:r>
      <w:r>
        <w:rPr>
          <w:rFonts w:cs="Arial"/>
        </w:rPr>
        <w:t xml:space="preserve">improved </w:t>
      </w:r>
      <w:r w:rsidRPr="00F47E6D">
        <w:rPr>
          <w:rFonts w:cs="Arial"/>
        </w:rPr>
        <w:t>transparency regarding wind farm activit</w:t>
      </w:r>
      <w:r>
        <w:rPr>
          <w:rFonts w:cs="Arial"/>
        </w:rPr>
        <w:t xml:space="preserve">ies </w:t>
      </w:r>
      <w:r w:rsidRPr="00F47E6D">
        <w:rPr>
          <w:rFonts w:cs="Arial"/>
        </w:rPr>
        <w:t>in Australia.</w:t>
      </w:r>
    </w:p>
    <w:p w14:paraId="196C7331" w14:textId="00A9806F" w:rsidR="005874E7" w:rsidRDefault="005874E7" w:rsidP="005874E7">
      <w:pPr>
        <w:spacing w:line="264" w:lineRule="auto"/>
        <w:rPr>
          <w:rFonts w:cs="Arial"/>
        </w:rPr>
      </w:pPr>
      <w:r>
        <w:rPr>
          <w:rFonts w:cs="Arial"/>
        </w:rPr>
        <w:t>There are no formal powers associated with the Commissioner’s role</w:t>
      </w:r>
      <w:r w:rsidR="0021506B">
        <w:rPr>
          <w:rFonts w:cs="Arial"/>
        </w:rPr>
        <w:t>.</w:t>
      </w:r>
      <w:r>
        <w:rPr>
          <w:rFonts w:cs="Arial"/>
        </w:rPr>
        <w:t xml:space="preserve"> </w:t>
      </w:r>
      <w:r w:rsidR="0021506B">
        <w:rPr>
          <w:rFonts w:cs="Arial"/>
        </w:rPr>
        <w:t>T</w:t>
      </w:r>
      <w:r>
        <w:rPr>
          <w:rFonts w:cs="Arial"/>
        </w:rPr>
        <w:t xml:space="preserve">he Commissioner relies on effective relationships and the goodwill of </w:t>
      </w:r>
      <w:r w:rsidR="002E62EE">
        <w:rPr>
          <w:rFonts w:cs="Arial"/>
        </w:rPr>
        <w:t xml:space="preserve">a wide array </w:t>
      </w:r>
      <w:r w:rsidR="007C4C58">
        <w:rPr>
          <w:rFonts w:cs="Arial"/>
        </w:rPr>
        <w:t xml:space="preserve">of </w:t>
      </w:r>
      <w:r>
        <w:rPr>
          <w:rFonts w:cs="Arial"/>
        </w:rPr>
        <w:t>stakeholders to facilitate the complaints handling process as well as assist in the identification and adoption of best practices recommendations.</w:t>
      </w:r>
    </w:p>
    <w:p w14:paraId="427A1FA2" w14:textId="7620971E" w:rsidR="002E62EE" w:rsidRDefault="002E62EE" w:rsidP="005874E7">
      <w:pPr>
        <w:spacing w:line="264" w:lineRule="auto"/>
        <w:rPr>
          <w:rFonts w:cs="Arial"/>
        </w:rPr>
      </w:pPr>
      <w:r>
        <w:rPr>
          <w:rFonts w:cs="Arial"/>
        </w:rPr>
        <w:t>The Commissioner is independent and reports directly to th</w:t>
      </w:r>
      <w:r w:rsidR="002D5A92">
        <w:rPr>
          <w:rFonts w:cs="Arial"/>
        </w:rPr>
        <w:t>e Minister for the Environment and</w:t>
      </w:r>
      <w:r>
        <w:rPr>
          <w:rFonts w:cs="Arial"/>
        </w:rPr>
        <w:t xml:space="preserve"> Energy.</w:t>
      </w:r>
    </w:p>
    <w:p w14:paraId="708BCE9A" w14:textId="77777777" w:rsidR="005874E7" w:rsidRDefault="005874E7" w:rsidP="005874E7">
      <w:pPr>
        <w:spacing w:line="264" w:lineRule="auto"/>
        <w:rPr>
          <w:rFonts w:cs="Arial"/>
        </w:rPr>
      </w:pPr>
      <w:r>
        <w:rPr>
          <w:rFonts w:cs="Arial"/>
        </w:rPr>
        <w:t xml:space="preserve">The Commissioner’s Terms of Reference is included in </w:t>
      </w:r>
      <w:r w:rsidRPr="00AB7ADD">
        <w:rPr>
          <w:rFonts w:cs="Arial"/>
          <w:u w:val="single"/>
        </w:rPr>
        <w:t>Appendix A</w:t>
      </w:r>
      <w:r>
        <w:rPr>
          <w:rFonts w:cs="Arial"/>
        </w:rPr>
        <w:t>.</w:t>
      </w:r>
    </w:p>
    <w:p w14:paraId="3E81E5CD" w14:textId="77777777" w:rsidR="005874E7" w:rsidRPr="00F47E6D" w:rsidRDefault="005874E7" w:rsidP="005874E7">
      <w:pPr>
        <w:pStyle w:val="Heading2"/>
        <w:spacing w:line="264" w:lineRule="auto"/>
      </w:pPr>
      <w:bookmarkStart w:id="3" w:name="_Toc511140598"/>
      <w:r>
        <w:t>The</w:t>
      </w:r>
      <w:r w:rsidRPr="00F47E6D">
        <w:t xml:space="preserve"> Year in Review</w:t>
      </w:r>
      <w:bookmarkEnd w:id="3"/>
    </w:p>
    <w:p w14:paraId="063433F0" w14:textId="6AAB98EA" w:rsidR="0071272E" w:rsidRPr="0071272E" w:rsidRDefault="00517FE9" w:rsidP="007376C0">
      <w:pPr>
        <w:spacing w:line="264" w:lineRule="auto"/>
        <w:rPr>
          <w:rFonts w:eastAsia="Times New Roman" w:cs="Arial"/>
          <w:lang w:val="en" w:eastAsia="en-AU"/>
        </w:rPr>
      </w:pPr>
      <w:r w:rsidRPr="005920B0">
        <w:rPr>
          <w:rFonts w:cs="Arial"/>
        </w:rPr>
        <w:t>2017 has been a</w:t>
      </w:r>
      <w:r>
        <w:rPr>
          <w:rFonts w:cs="Arial"/>
        </w:rPr>
        <w:t>n active</w:t>
      </w:r>
      <w:r w:rsidRPr="005920B0">
        <w:rPr>
          <w:rFonts w:cs="Arial"/>
        </w:rPr>
        <w:t xml:space="preserve"> year for the Office</w:t>
      </w:r>
      <w:r>
        <w:rPr>
          <w:rFonts w:cs="Arial"/>
        </w:rPr>
        <w:t xml:space="preserve"> of the National Wind Farm Commissioner</w:t>
      </w:r>
      <w:r w:rsidRPr="005920B0">
        <w:rPr>
          <w:rFonts w:cs="Arial"/>
        </w:rPr>
        <w:t xml:space="preserve">, </w:t>
      </w:r>
      <w:r w:rsidRPr="001D1173">
        <w:rPr>
          <w:rFonts w:cs="Arial"/>
        </w:rPr>
        <w:t xml:space="preserve">with a number of major </w:t>
      </w:r>
      <w:r>
        <w:rPr>
          <w:rFonts w:cs="Arial"/>
        </w:rPr>
        <w:t xml:space="preserve">wind farm </w:t>
      </w:r>
      <w:r w:rsidRPr="001D1173">
        <w:rPr>
          <w:rFonts w:cs="Arial"/>
        </w:rPr>
        <w:t>announcements, development approvals, acquisitions and construction</w:t>
      </w:r>
      <w:r>
        <w:rPr>
          <w:rFonts w:cs="Arial"/>
        </w:rPr>
        <w:t xml:space="preserve"> </w:t>
      </w:r>
      <w:r w:rsidRPr="001D1173">
        <w:rPr>
          <w:rFonts w:cs="Arial"/>
        </w:rPr>
        <w:t>works underway</w:t>
      </w:r>
      <w:r>
        <w:rPr>
          <w:rFonts w:cs="Arial"/>
        </w:rPr>
        <w:t xml:space="preserve"> across Australia.</w:t>
      </w:r>
      <w:r w:rsidR="0071272E" w:rsidRPr="0071272E">
        <w:rPr>
          <w:rFonts w:eastAsia="Times New Roman" w:cs="Arial"/>
          <w:lang w:val="en" w:eastAsia="en-AU"/>
        </w:rPr>
        <w:t xml:space="preserve"> </w:t>
      </w:r>
      <w:r w:rsidR="0071272E" w:rsidRPr="00850722">
        <w:rPr>
          <w:rFonts w:eastAsia="Times New Roman" w:cs="Arial"/>
          <w:lang w:val="en" w:eastAsia="en-AU"/>
        </w:rPr>
        <w:t>According to the latest figures released by Clean Energy Council,</w:t>
      </w:r>
      <w:r w:rsidR="0071272E">
        <w:rPr>
          <w:rFonts w:eastAsia="Times New Roman" w:cs="Arial"/>
          <w:lang w:val="en" w:eastAsia="en-AU"/>
        </w:rPr>
        <w:t xml:space="preserve"> there are now at least 52 renewable energy projects</w:t>
      </w:r>
      <w:r w:rsidR="00E42DF8">
        <w:rPr>
          <w:rFonts w:eastAsia="Times New Roman" w:cs="Arial"/>
          <w:lang w:val="en" w:eastAsia="en-AU"/>
        </w:rPr>
        <w:t xml:space="preserve"> that are</w:t>
      </w:r>
      <w:r w:rsidR="0071272E">
        <w:rPr>
          <w:rFonts w:eastAsia="Times New Roman" w:cs="Arial"/>
          <w:lang w:val="en" w:eastAsia="en-AU"/>
        </w:rPr>
        <w:t xml:space="preserve"> under construction, committed or have been completed since the beginning of 2017, delivering 5206 MW of energy capacity and more than $10 billion in investment. Of this, large-scale wind energy projects have contributed to a capacity of 2949 MW and more than $6 billion in investment.</w:t>
      </w:r>
    </w:p>
    <w:p w14:paraId="6125A6CA" w14:textId="2D509AA4" w:rsidR="00517FE9" w:rsidRDefault="00D7339C" w:rsidP="007376C0">
      <w:pPr>
        <w:spacing w:line="264" w:lineRule="auto"/>
        <w:rPr>
          <w:rFonts w:cs="Arial"/>
        </w:rPr>
      </w:pPr>
      <w:r>
        <w:rPr>
          <w:rFonts w:eastAsia="Times New Roman" w:cs="Arial"/>
          <w:lang w:val="en" w:eastAsia="en-AU"/>
        </w:rPr>
        <w:t>By the end of 2017, there were 13 wind farms under construction and at least another four wind farm projects with financial commitment that are expected to commence construction in 2018. Further, a</w:t>
      </w:r>
      <w:r w:rsidR="00517FE9">
        <w:rPr>
          <w:rFonts w:cs="Arial"/>
        </w:rPr>
        <w:t xml:space="preserve"> large number of proposed wind farm projects that have been in the pipeline for a number of years are now starting to progress, with many projects that were in the ‘feasibility stage’ being re-investigated and revised. There have also been a large number of projects requesting and receiving permit modification approvals to allow the deployment of newer and larger turbines – often resulting in </w:t>
      </w:r>
      <w:r w:rsidR="0017092D">
        <w:rPr>
          <w:rFonts w:cs="Arial"/>
        </w:rPr>
        <w:t xml:space="preserve">community members raising </w:t>
      </w:r>
      <w:r w:rsidR="00517FE9">
        <w:rPr>
          <w:rFonts w:cs="Arial"/>
        </w:rPr>
        <w:t xml:space="preserve">new concerns </w:t>
      </w:r>
      <w:r w:rsidR="0017092D">
        <w:rPr>
          <w:rFonts w:cs="Arial"/>
        </w:rPr>
        <w:t xml:space="preserve">with the </w:t>
      </w:r>
      <w:r w:rsidR="008247F6">
        <w:rPr>
          <w:rFonts w:cs="Arial"/>
        </w:rPr>
        <w:t>Commissioner</w:t>
      </w:r>
      <w:r w:rsidR="00517FE9">
        <w:rPr>
          <w:rFonts w:cs="Arial"/>
        </w:rPr>
        <w:t>.</w:t>
      </w:r>
    </w:p>
    <w:p w14:paraId="0DBBE9E4" w14:textId="238CAB09" w:rsidR="007376C0" w:rsidRDefault="007376C0" w:rsidP="007376C0">
      <w:pPr>
        <w:spacing w:line="264" w:lineRule="auto"/>
        <w:rPr>
          <w:rFonts w:cs="Arial"/>
        </w:rPr>
      </w:pPr>
      <w:r w:rsidRPr="007376C0">
        <w:rPr>
          <w:rFonts w:cs="Arial"/>
        </w:rPr>
        <w:t>During the year, the Office has continued to progress the resolution and closure of complaints</w:t>
      </w:r>
      <w:r w:rsidR="00EB3D6D">
        <w:rPr>
          <w:rFonts w:cs="Arial"/>
        </w:rPr>
        <w:t>. These activities</w:t>
      </w:r>
      <w:r w:rsidRPr="007376C0">
        <w:rPr>
          <w:rFonts w:cs="Arial"/>
        </w:rPr>
        <w:t xml:space="preserve"> includ</w:t>
      </w:r>
      <w:r w:rsidR="0021506B">
        <w:rPr>
          <w:rFonts w:cs="Arial"/>
        </w:rPr>
        <w:t>ed</w:t>
      </w:r>
      <w:r w:rsidR="00EB3D6D">
        <w:rPr>
          <w:rFonts w:cs="Arial"/>
        </w:rPr>
        <w:t xml:space="preserve"> the provision and clarification of information to </w:t>
      </w:r>
      <w:r w:rsidR="00EB3D6D" w:rsidRPr="007376C0">
        <w:rPr>
          <w:rFonts w:cs="Arial"/>
        </w:rPr>
        <w:t xml:space="preserve">concerned </w:t>
      </w:r>
      <w:r w:rsidR="00EB3D6D">
        <w:rPr>
          <w:rFonts w:cs="Arial"/>
        </w:rPr>
        <w:t xml:space="preserve">residents in relation to wind farm projects </w:t>
      </w:r>
      <w:r w:rsidR="00B403A4">
        <w:rPr>
          <w:rFonts w:cs="Arial"/>
        </w:rPr>
        <w:t xml:space="preserve">– through </w:t>
      </w:r>
      <w:r w:rsidR="00EB3D6D">
        <w:rPr>
          <w:rFonts w:cs="Arial"/>
        </w:rPr>
        <w:t xml:space="preserve">to </w:t>
      </w:r>
      <w:r w:rsidR="00C852D3">
        <w:rPr>
          <w:rFonts w:cs="Arial"/>
        </w:rPr>
        <w:t>f</w:t>
      </w:r>
      <w:r w:rsidR="00EB3D6D">
        <w:rPr>
          <w:rFonts w:cs="Arial"/>
        </w:rPr>
        <w:t xml:space="preserve">acilitation of </w:t>
      </w:r>
      <w:r w:rsidR="00C852D3">
        <w:rPr>
          <w:rFonts w:cs="Arial"/>
        </w:rPr>
        <w:t xml:space="preserve">meetings </w:t>
      </w:r>
      <w:r w:rsidRPr="007376C0">
        <w:rPr>
          <w:rFonts w:cs="Arial"/>
        </w:rPr>
        <w:t>between residents and wind farm proponents</w:t>
      </w:r>
      <w:r w:rsidR="00B403A4">
        <w:rPr>
          <w:rFonts w:cs="Arial"/>
        </w:rPr>
        <w:t xml:space="preserve"> to progress</w:t>
      </w:r>
      <w:r w:rsidR="00482A63">
        <w:rPr>
          <w:rFonts w:cs="Arial"/>
        </w:rPr>
        <w:t xml:space="preserve"> resolution to more complex issues</w:t>
      </w:r>
      <w:r w:rsidRPr="007376C0">
        <w:rPr>
          <w:rFonts w:cs="Arial"/>
        </w:rPr>
        <w:t>.</w:t>
      </w:r>
      <w:r w:rsidR="00482A63">
        <w:rPr>
          <w:rFonts w:cs="Arial"/>
        </w:rPr>
        <w:t xml:space="preserve"> </w:t>
      </w:r>
      <w:r w:rsidR="0052117D">
        <w:rPr>
          <w:rFonts w:cs="Arial"/>
        </w:rPr>
        <w:t xml:space="preserve">While </w:t>
      </w:r>
      <w:r w:rsidR="00AC4F4F">
        <w:rPr>
          <w:rFonts w:cs="Arial"/>
        </w:rPr>
        <w:t xml:space="preserve">the Office’s </w:t>
      </w:r>
      <w:r w:rsidR="0052117D" w:rsidRPr="00E5005D">
        <w:rPr>
          <w:rFonts w:cs="Arial"/>
        </w:rPr>
        <w:t xml:space="preserve">complaint handling process is a voluntary process </w:t>
      </w:r>
      <w:r w:rsidR="006E4324">
        <w:rPr>
          <w:rFonts w:cs="Arial"/>
        </w:rPr>
        <w:t xml:space="preserve">– </w:t>
      </w:r>
      <w:r w:rsidR="00AC4F4F">
        <w:rPr>
          <w:rFonts w:cs="Arial"/>
        </w:rPr>
        <w:t xml:space="preserve">the </w:t>
      </w:r>
      <w:r w:rsidR="0052117D" w:rsidRPr="00E5005D">
        <w:rPr>
          <w:rFonts w:cs="Arial"/>
        </w:rPr>
        <w:t xml:space="preserve">Office </w:t>
      </w:r>
      <w:r w:rsidR="005D59C9">
        <w:rPr>
          <w:rFonts w:cs="Arial"/>
        </w:rPr>
        <w:t xml:space="preserve">does not have the power to </w:t>
      </w:r>
      <w:r w:rsidR="0052117D" w:rsidRPr="00E5005D">
        <w:rPr>
          <w:rFonts w:cs="Arial"/>
        </w:rPr>
        <w:t>compel</w:t>
      </w:r>
      <w:r w:rsidR="0052117D">
        <w:rPr>
          <w:rFonts w:cs="Arial"/>
        </w:rPr>
        <w:t xml:space="preserve"> parties to respond to a complaint</w:t>
      </w:r>
      <w:r w:rsidR="006E4324">
        <w:rPr>
          <w:rFonts w:cs="Arial"/>
        </w:rPr>
        <w:t xml:space="preserve"> – both </w:t>
      </w:r>
      <w:r w:rsidR="0052117D">
        <w:rPr>
          <w:rFonts w:cs="Arial"/>
        </w:rPr>
        <w:t xml:space="preserve">industry and government continue to embrace </w:t>
      </w:r>
      <w:r w:rsidR="00AC4F4F">
        <w:rPr>
          <w:rFonts w:cs="Arial"/>
        </w:rPr>
        <w:t xml:space="preserve">the Commissioner’s </w:t>
      </w:r>
      <w:r w:rsidR="0052117D">
        <w:rPr>
          <w:rFonts w:cs="Arial"/>
        </w:rPr>
        <w:t>role</w:t>
      </w:r>
      <w:r w:rsidR="006E4324">
        <w:rPr>
          <w:rFonts w:cs="Arial"/>
        </w:rPr>
        <w:t xml:space="preserve"> and </w:t>
      </w:r>
      <w:r w:rsidR="00482A63">
        <w:rPr>
          <w:rFonts w:cs="Arial"/>
        </w:rPr>
        <w:t xml:space="preserve">have been cooperative </w:t>
      </w:r>
      <w:r w:rsidR="0052117D">
        <w:rPr>
          <w:rFonts w:cs="Arial"/>
        </w:rPr>
        <w:t xml:space="preserve">in engaging with </w:t>
      </w:r>
      <w:r w:rsidR="00482A63">
        <w:rPr>
          <w:rFonts w:cs="Arial"/>
        </w:rPr>
        <w:t xml:space="preserve">both </w:t>
      </w:r>
      <w:r w:rsidR="00AC4F4F">
        <w:rPr>
          <w:rFonts w:cs="Arial"/>
        </w:rPr>
        <w:t xml:space="preserve">the </w:t>
      </w:r>
      <w:r w:rsidR="0052117D">
        <w:rPr>
          <w:rFonts w:cs="Arial"/>
        </w:rPr>
        <w:t>Office and complainants.</w:t>
      </w:r>
    </w:p>
    <w:p w14:paraId="625823AE" w14:textId="60E7AB96" w:rsidR="005D59C9" w:rsidRDefault="00C634A4" w:rsidP="005D59C9">
      <w:pPr>
        <w:pStyle w:val="ListBullet"/>
        <w:numPr>
          <w:ilvl w:val="0"/>
          <w:numId w:val="0"/>
        </w:numPr>
        <w:rPr>
          <w:rFonts w:cs="Arial"/>
        </w:rPr>
      </w:pPr>
      <w:r>
        <w:rPr>
          <w:rFonts w:cs="Arial"/>
        </w:rPr>
        <w:lastRenderedPageBreak/>
        <w:t xml:space="preserve">The </w:t>
      </w:r>
      <w:r w:rsidR="007376C0" w:rsidRPr="00080CEC">
        <w:rPr>
          <w:rFonts w:cs="Arial"/>
        </w:rPr>
        <w:t xml:space="preserve">Office has received a total of 73 </w:t>
      </w:r>
      <w:r w:rsidR="0053103B">
        <w:rPr>
          <w:rFonts w:cs="Arial"/>
        </w:rPr>
        <w:t xml:space="preserve">new </w:t>
      </w:r>
      <w:r w:rsidR="007376C0" w:rsidRPr="00080CEC">
        <w:rPr>
          <w:rFonts w:cs="Arial"/>
        </w:rPr>
        <w:t xml:space="preserve">complaints about wind farms during </w:t>
      </w:r>
      <w:r w:rsidR="00971989">
        <w:rPr>
          <w:rFonts w:cs="Arial"/>
        </w:rPr>
        <w:t>2017, with a</w:t>
      </w:r>
      <w:r w:rsidR="007376C0" w:rsidRPr="00080CEC">
        <w:rPr>
          <w:rFonts w:cs="Arial"/>
        </w:rPr>
        <w:t xml:space="preserve"> total of 163 complaints </w:t>
      </w:r>
      <w:r w:rsidR="0053103B">
        <w:rPr>
          <w:rFonts w:cs="Arial"/>
        </w:rPr>
        <w:t xml:space="preserve">received </w:t>
      </w:r>
      <w:r w:rsidR="007376C0" w:rsidRPr="00080CEC">
        <w:rPr>
          <w:rFonts w:cs="Arial"/>
        </w:rPr>
        <w:t xml:space="preserve">for the period </w:t>
      </w:r>
      <w:r w:rsidR="005D59C9">
        <w:rPr>
          <w:rFonts w:cs="Arial"/>
        </w:rPr>
        <w:t>from</w:t>
      </w:r>
      <w:r w:rsidR="007376C0" w:rsidRPr="00080CEC">
        <w:rPr>
          <w:rFonts w:cs="Arial"/>
        </w:rPr>
        <w:t xml:space="preserve"> the Office’s inception up to 31 December 2017.</w:t>
      </w:r>
      <w:r w:rsidR="005D59C9">
        <w:rPr>
          <w:rFonts w:cs="Arial"/>
        </w:rPr>
        <w:t xml:space="preserve"> For</w:t>
      </w:r>
      <w:r w:rsidR="005D59C9" w:rsidRPr="00F47E6D">
        <w:rPr>
          <w:rFonts w:cs="Arial"/>
        </w:rPr>
        <w:t xml:space="preserve"> </w:t>
      </w:r>
      <w:r w:rsidR="00086A5D">
        <w:rPr>
          <w:rFonts w:cs="Arial"/>
        </w:rPr>
        <w:t>the period of 1 </w:t>
      </w:r>
      <w:r w:rsidR="005D59C9">
        <w:rPr>
          <w:rFonts w:cs="Arial"/>
        </w:rPr>
        <w:t>January 2017 to 31</w:t>
      </w:r>
      <w:r w:rsidR="005D59C9" w:rsidRPr="00F47E6D">
        <w:rPr>
          <w:rFonts w:cs="Arial"/>
        </w:rPr>
        <w:t xml:space="preserve"> December 201</w:t>
      </w:r>
      <w:r w:rsidR="005D59C9">
        <w:rPr>
          <w:rFonts w:cs="Arial"/>
        </w:rPr>
        <w:t>7</w:t>
      </w:r>
      <w:r w:rsidR="005D59C9" w:rsidRPr="00F47E6D">
        <w:rPr>
          <w:rFonts w:cs="Arial"/>
        </w:rPr>
        <w:t xml:space="preserve">, </w:t>
      </w:r>
      <w:r w:rsidR="005D59C9">
        <w:rPr>
          <w:rFonts w:cs="Arial"/>
        </w:rPr>
        <w:t>78</w:t>
      </w:r>
      <w:r w:rsidR="005D59C9" w:rsidRPr="00F47E6D">
        <w:rPr>
          <w:rFonts w:cs="Arial"/>
        </w:rPr>
        <w:t xml:space="preserve"> </w:t>
      </w:r>
      <w:r w:rsidR="005D59C9">
        <w:rPr>
          <w:rFonts w:cs="Arial"/>
        </w:rPr>
        <w:t>complaints</w:t>
      </w:r>
      <w:r w:rsidR="005D59C9" w:rsidRPr="00F47E6D">
        <w:rPr>
          <w:rFonts w:cs="Arial"/>
        </w:rPr>
        <w:t xml:space="preserve"> </w:t>
      </w:r>
      <w:r w:rsidR="005D59C9">
        <w:rPr>
          <w:rFonts w:cs="Arial"/>
        </w:rPr>
        <w:t>were closed. Of those 78 complaints</w:t>
      </w:r>
      <w:r w:rsidR="001E1E69">
        <w:rPr>
          <w:rFonts w:cs="Arial"/>
        </w:rPr>
        <w:t xml:space="preserve"> that were closed in 2017</w:t>
      </w:r>
      <w:r w:rsidR="005D59C9">
        <w:rPr>
          <w:rFonts w:cs="Arial"/>
        </w:rPr>
        <w:t xml:space="preserve">, 20 </w:t>
      </w:r>
      <w:r w:rsidR="001E1E69">
        <w:rPr>
          <w:rFonts w:cs="Arial"/>
        </w:rPr>
        <w:t xml:space="preserve">of those complaints </w:t>
      </w:r>
      <w:r w:rsidR="005D59C9">
        <w:rPr>
          <w:rFonts w:cs="Arial"/>
        </w:rPr>
        <w:t xml:space="preserve">were </w:t>
      </w:r>
      <w:r w:rsidR="00086A5D">
        <w:rPr>
          <w:rFonts w:cs="Arial"/>
        </w:rPr>
        <w:t>lodged prior to 1 January 2017.</w:t>
      </w:r>
      <w:r w:rsidR="005D59C9">
        <w:rPr>
          <w:rFonts w:cs="Arial"/>
        </w:rPr>
        <w:t xml:space="preserve"> As at 31 December 2017, the</w:t>
      </w:r>
      <w:r w:rsidR="001E1E69">
        <w:rPr>
          <w:rFonts w:cs="Arial"/>
        </w:rPr>
        <w:t>re</w:t>
      </w:r>
      <w:r w:rsidR="005D59C9">
        <w:rPr>
          <w:rFonts w:cs="Arial"/>
        </w:rPr>
        <w:t xml:space="preserve"> were 18 open complaints.</w:t>
      </w:r>
    </w:p>
    <w:p w14:paraId="283296E9" w14:textId="32AE8E02" w:rsidR="005874E7" w:rsidRPr="007376C0" w:rsidRDefault="007376C0" w:rsidP="007376C0">
      <w:pPr>
        <w:spacing w:line="264" w:lineRule="auto"/>
        <w:rPr>
          <w:rFonts w:cs="Arial"/>
        </w:rPr>
      </w:pPr>
      <w:r w:rsidRPr="005920B0">
        <w:rPr>
          <w:rFonts w:cs="Arial"/>
        </w:rPr>
        <w:t>A</w:t>
      </w:r>
      <w:r w:rsidR="00E64AD1">
        <w:rPr>
          <w:rFonts w:cs="Arial"/>
        </w:rPr>
        <w:t>nother</w:t>
      </w:r>
      <w:r w:rsidRPr="005920B0">
        <w:rPr>
          <w:rFonts w:cs="Arial"/>
        </w:rPr>
        <w:t xml:space="preserve"> key priority </w:t>
      </w:r>
      <w:r w:rsidR="006960BA" w:rsidRPr="005920B0">
        <w:rPr>
          <w:rFonts w:cs="Arial"/>
        </w:rPr>
        <w:t xml:space="preserve">for the Commissioner </w:t>
      </w:r>
      <w:r w:rsidRPr="005920B0">
        <w:rPr>
          <w:rFonts w:cs="Arial"/>
        </w:rPr>
        <w:t xml:space="preserve">during 2017 was </w:t>
      </w:r>
      <w:r w:rsidRPr="00B84E66">
        <w:rPr>
          <w:rFonts w:cs="Arial"/>
        </w:rPr>
        <w:t xml:space="preserve">to </w:t>
      </w:r>
      <w:r w:rsidR="006960BA" w:rsidRPr="00B84E66">
        <w:rPr>
          <w:rFonts w:cs="Arial"/>
        </w:rPr>
        <w:t>continue engaging</w:t>
      </w:r>
      <w:r w:rsidRPr="005920B0">
        <w:rPr>
          <w:rFonts w:cs="Arial"/>
        </w:rPr>
        <w:t xml:space="preserve"> with an increasing </w:t>
      </w:r>
      <w:r w:rsidR="00E83532">
        <w:rPr>
          <w:rFonts w:cs="Arial"/>
        </w:rPr>
        <w:t xml:space="preserve">number and diversity </w:t>
      </w:r>
      <w:r w:rsidRPr="005920B0">
        <w:rPr>
          <w:rFonts w:cs="Arial"/>
        </w:rPr>
        <w:t>of stakeholders</w:t>
      </w:r>
      <w:r w:rsidRPr="007376C0">
        <w:rPr>
          <w:rFonts w:cs="Arial"/>
        </w:rPr>
        <w:t>.</w:t>
      </w:r>
      <w:r>
        <w:rPr>
          <w:rFonts w:cs="Arial"/>
        </w:rPr>
        <w:t xml:space="preserve"> </w:t>
      </w:r>
      <w:r w:rsidR="00007830">
        <w:rPr>
          <w:rFonts w:cs="Arial"/>
        </w:rPr>
        <w:t>Since commencing the role</w:t>
      </w:r>
      <w:r w:rsidR="005920B0" w:rsidRPr="005920B0">
        <w:rPr>
          <w:rFonts w:cs="Arial"/>
        </w:rPr>
        <w:t xml:space="preserve">, the Commissioner has met with over 900 stakeholders, including representatives from </w:t>
      </w:r>
      <w:r w:rsidR="00E64AD1" w:rsidRPr="007376C0">
        <w:rPr>
          <w:rFonts w:cs="Arial"/>
        </w:rPr>
        <w:t>community groups, industry</w:t>
      </w:r>
      <w:r w:rsidR="0053103B">
        <w:rPr>
          <w:rFonts w:cs="Arial"/>
        </w:rPr>
        <w:t xml:space="preserve">, experts along with local, state and federal government departments and </w:t>
      </w:r>
      <w:r w:rsidR="00E64AD1" w:rsidRPr="007376C0">
        <w:rPr>
          <w:rFonts w:cs="Arial"/>
        </w:rPr>
        <w:t>agencies</w:t>
      </w:r>
      <w:r w:rsidR="0027719B">
        <w:rPr>
          <w:rFonts w:cs="Arial"/>
        </w:rPr>
        <w:t>.</w:t>
      </w:r>
      <w:r w:rsidR="00244E35">
        <w:rPr>
          <w:rFonts w:cs="Arial"/>
        </w:rPr>
        <w:t xml:space="preserve"> </w:t>
      </w:r>
      <w:r w:rsidR="00244E35" w:rsidRPr="00B84E66">
        <w:rPr>
          <w:rFonts w:cs="Arial"/>
        </w:rPr>
        <w:t xml:space="preserve">Specific details and further information on </w:t>
      </w:r>
      <w:r w:rsidR="00C634A4">
        <w:rPr>
          <w:rFonts w:cs="Arial"/>
        </w:rPr>
        <w:t>the Office’s</w:t>
      </w:r>
      <w:r w:rsidR="00C634A4" w:rsidRPr="00B84E66">
        <w:rPr>
          <w:rFonts w:cs="Arial"/>
        </w:rPr>
        <w:t xml:space="preserve"> </w:t>
      </w:r>
      <w:r w:rsidR="00244E35" w:rsidRPr="00B84E66">
        <w:rPr>
          <w:rFonts w:cs="Arial"/>
        </w:rPr>
        <w:t xml:space="preserve">stakeholder engagement activities are discussed on pages </w:t>
      </w:r>
      <w:r w:rsidR="00561935">
        <w:rPr>
          <w:rFonts w:cs="Arial"/>
        </w:rPr>
        <w:t>17-21</w:t>
      </w:r>
      <w:r w:rsidR="00244E35" w:rsidRPr="00B84E66">
        <w:rPr>
          <w:rFonts w:cs="Arial"/>
        </w:rPr>
        <w:t xml:space="preserve"> of this report.</w:t>
      </w:r>
    </w:p>
    <w:p w14:paraId="42137C7F" w14:textId="09F17508" w:rsidR="008B53BF" w:rsidRDefault="008B53BF" w:rsidP="00F737FD">
      <w:pPr>
        <w:spacing w:line="264" w:lineRule="auto"/>
        <w:rPr>
          <w:rFonts w:cs="Arial"/>
        </w:rPr>
      </w:pPr>
      <w:r>
        <w:rPr>
          <w:rFonts w:cs="Arial"/>
        </w:rPr>
        <w:t xml:space="preserve">On 31 March 2017, </w:t>
      </w:r>
      <w:r w:rsidR="007D19E5">
        <w:rPr>
          <w:rFonts w:cs="Arial"/>
        </w:rPr>
        <w:t xml:space="preserve">the 2016 </w:t>
      </w:r>
      <w:r>
        <w:rPr>
          <w:rFonts w:cs="Arial"/>
        </w:rPr>
        <w:t xml:space="preserve">Annual Report </w:t>
      </w:r>
      <w:r w:rsidR="007D19E5">
        <w:rPr>
          <w:rFonts w:cs="Arial"/>
        </w:rPr>
        <w:t>was submitted to</w:t>
      </w:r>
      <w:r>
        <w:rPr>
          <w:rFonts w:cs="Arial"/>
        </w:rPr>
        <w:t xml:space="preserve"> the Minister</w:t>
      </w:r>
      <w:r w:rsidR="00DE3C55">
        <w:rPr>
          <w:rFonts w:cs="Arial"/>
        </w:rPr>
        <w:t xml:space="preserve"> for</w:t>
      </w:r>
      <w:r w:rsidR="00E83532">
        <w:rPr>
          <w:rFonts w:cs="Arial"/>
        </w:rPr>
        <w:t xml:space="preserve"> the</w:t>
      </w:r>
      <w:r w:rsidR="00DE3C55">
        <w:rPr>
          <w:rFonts w:cs="Arial"/>
        </w:rPr>
        <w:t xml:space="preserve"> Environment </w:t>
      </w:r>
      <w:r w:rsidR="00007830">
        <w:rPr>
          <w:rFonts w:cs="Arial"/>
        </w:rPr>
        <w:t xml:space="preserve">and </w:t>
      </w:r>
      <w:r w:rsidR="00DE3C55">
        <w:rPr>
          <w:rFonts w:cs="Arial"/>
        </w:rPr>
        <w:t>Energy</w:t>
      </w:r>
      <w:r>
        <w:rPr>
          <w:rFonts w:cs="Arial"/>
        </w:rPr>
        <w:t xml:space="preserve"> and </w:t>
      </w:r>
      <w:r w:rsidR="00644B1D">
        <w:rPr>
          <w:rFonts w:cs="Arial"/>
        </w:rPr>
        <w:t xml:space="preserve">subsequently tabled with </w:t>
      </w:r>
      <w:r>
        <w:rPr>
          <w:rFonts w:cs="Arial"/>
        </w:rPr>
        <w:t xml:space="preserve">the </w:t>
      </w:r>
      <w:r w:rsidR="00007830">
        <w:rPr>
          <w:rFonts w:cs="Arial"/>
        </w:rPr>
        <w:t xml:space="preserve">Australian </w:t>
      </w:r>
      <w:r>
        <w:rPr>
          <w:rFonts w:cs="Arial"/>
        </w:rPr>
        <w:t xml:space="preserve">Parliament. </w:t>
      </w:r>
      <w:r w:rsidR="007D19E5">
        <w:rPr>
          <w:rFonts w:cs="Arial"/>
        </w:rPr>
        <w:t>T</w:t>
      </w:r>
      <w:r>
        <w:rPr>
          <w:rFonts w:cs="Arial"/>
        </w:rPr>
        <w:t xml:space="preserve">he </w:t>
      </w:r>
      <w:r w:rsidR="007D19E5">
        <w:rPr>
          <w:rFonts w:cs="Arial"/>
        </w:rPr>
        <w:t>r</w:t>
      </w:r>
      <w:r>
        <w:rPr>
          <w:rFonts w:cs="Arial"/>
        </w:rPr>
        <w:t xml:space="preserve">eport </w:t>
      </w:r>
      <w:r w:rsidR="007D19E5">
        <w:rPr>
          <w:rFonts w:cs="Arial"/>
        </w:rPr>
        <w:t xml:space="preserve">included </w:t>
      </w:r>
      <w:r w:rsidR="00387948">
        <w:rPr>
          <w:rFonts w:cs="Arial"/>
        </w:rPr>
        <w:t xml:space="preserve">a number of key observations and preliminary recommendations </w:t>
      </w:r>
      <w:r>
        <w:rPr>
          <w:rFonts w:cs="Arial"/>
        </w:rPr>
        <w:t>for consideration</w:t>
      </w:r>
      <w:r w:rsidR="00387948">
        <w:rPr>
          <w:rFonts w:cs="Arial"/>
        </w:rPr>
        <w:t xml:space="preserve"> by various stakeholders</w:t>
      </w:r>
      <w:r>
        <w:rPr>
          <w:rFonts w:cs="Arial"/>
        </w:rPr>
        <w:t>.</w:t>
      </w:r>
      <w:r w:rsidR="00E64AD1" w:rsidRPr="00E64AD1">
        <w:rPr>
          <w:rFonts w:cs="Arial"/>
        </w:rPr>
        <w:t xml:space="preserve"> </w:t>
      </w:r>
      <w:r w:rsidR="007D19E5">
        <w:rPr>
          <w:rFonts w:cs="Arial"/>
        </w:rPr>
        <w:t>Following publication of the report, t</w:t>
      </w:r>
      <w:r w:rsidR="00E64AD1">
        <w:rPr>
          <w:rFonts w:cs="Arial"/>
        </w:rPr>
        <w:t xml:space="preserve">he </w:t>
      </w:r>
      <w:r w:rsidR="00E64AD1" w:rsidRPr="00AB2FC3">
        <w:rPr>
          <w:rFonts w:cs="Arial"/>
        </w:rPr>
        <w:t xml:space="preserve">Office has </w:t>
      </w:r>
      <w:r w:rsidR="00E64AD1">
        <w:rPr>
          <w:rFonts w:cs="Arial"/>
        </w:rPr>
        <w:t xml:space="preserve">consulted widely and </w:t>
      </w:r>
      <w:r w:rsidR="00E64AD1" w:rsidRPr="00AB2FC3">
        <w:rPr>
          <w:rFonts w:cs="Arial"/>
        </w:rPr>
        <w:t xml:space="preserve">received considerable positive and constructive feedback from </w:t>
      </w:r>
      <w:r w:rsidR="00E64AD1">
        <w:rPr>
          <w:rFonts w:cs="Arial"/>
        </w:rPr>
        <w:t>stakeholders</w:t>
      </w:r>
      <w:r w:rsidR="007D19E5">
        <w:rPr>
          <w:rFonts w:cs="Arial"/>
        </w:rPr>
        <w:t xml:space="preserve">. Much of this feedback </w:t>
      </w:r>
      <w:r w:rsidR="00E64AD1">
        <w:rPr>
          <w:rFonts w:cs="Arial"/>
        </w:rPr>
        <w:t xml:space="preserve">has been considered </w:t>
      </w:r>
      <w:r w:rsidR="007D19E5">
        <w:rPr>
          <w:rFonts w:cs="Arial"/>
        </w:rPr>
        <w:t xml:space="preserve">in preparing and revising </w:t>
      </w:r>
      <w:r w:rsidR="00E64AD1">
        <w:rPr>
          <w:rFonts w:cs="Arial"/>
        </w:rPr>
        <w:t>the observations and recommendations</w:t>
      </w:r>
      <w:r w:rsidR="00B23A82">
        <w:rPr>
          <w:rFonts w:cs="Arial"/>
        </w:rPr>
        <w:t>,</w:t>
      </w:r>
      <w:r w:rsidR="00E64AD1">
        <w:rPr>
          <w:rFonts w:cs="Arial"/>
        </w:rPr>
        <w:t xml:space="preserve"> detailed later in this </w:t>
      </w:r>
      <w:r w:rsidR="00B23A82">
        <w:rPr>
          <w:rFonts w:cs="Arial"/>
        </w:rPr>
        <w:t xml:space="preserve">2017 </w:t>
      </w:r>
      <w:r w:rsidR="00E64AD1">
        <w:rPr>
          <w:rFonts w:cs="Arial"/>
        </w:rPr>
        <w:t>report.</w:t>
      </w:r>
    </w:p>
    <w:p w14:paraId="3208988A" w14:textId="3EDE6C85" w:rsidR="005E1525" w:rsidRPr="00771164" w:rsidRDefault="008B53BF" w:rsidP="00F737FD">
      <w:pPr>
        <w:spacing w:line="264" w:lineRule="auto"/>
        <w:rPr>
          <w:rFonts w:cs="Arial"/>
        </w:rPr>
      </w:pPr>
      <w:r>
        <w:rPr>
          <w:rFonts w:cs="Arial"/>
        </w:rPr>
        <w:t>Throughout 2017</w:t>
      </w:r>
      <w:r w:rsidR="00387948">
        <w:rPr>
          <w:rFonts w:cs="Arial"/>
        </w:rPr>
        <w:t xml:space="preserve">, </w:t>
      </w:r>
      <w:r w:rsidRPr="008B53BF">
        <w:rPr>
          <w:rFonts w:cs="Arial"/>
        </w:rPr>
        <w:t>the Office has commenced a range of initiatives in</w:t>
      </w:r>
      <w:r w:rsidR="00B23A82">
        <w:rPr>
          <w:rFonts w:cs="Arial"/>
        </w:rPr>
        <w:t>-</w:t>
      </w:r>
      <w:r w:rsidRPr="008B53BF">
        <w:rPr>
          <w:rFonts w:cs="Arial"/>
        </w:rPr>
        <w:t xml:space="preserve">line with the </w:t>
      </w:r>
      <w:r w:rsidR="007D19E5">
        <w:rPr>
          <w:rFonts w:cs="Arial"/>
        </w:rPr>
        <w:t>2016 Annual Report r</w:t>
      </w:r>
      <w:r w:rsidRPr="008B53BF">
        <w:rPr>
          <w:rFonts w:cs="Arial"/>
        </w:rPr>
        <w:t>ecommendations.</w:t>
      </w:r>
      <w:r w:rsidR="00771164">
        <w:rPr>
          <w:rFonts w:cs="Arial"/>
        </w:rPr>
        <w:t xml:space="preserve"> </w:t>
      </w:r>
      <w:r>
        <w:rPr>
          <w:rFonts w:cs="Arial"/>
        </w:rPr>
        <w:t>In</w:t>
      </w:r>
      <w:r w:rsidRPr="00352050">
        <w:rPr>
          <w:rFonts w:cs="Arial"/>
        </w:rPr>
        <w:t xml:space="preserve"> promoting </w:t>
      </w:r>
      <w:r w:rsidR="007D19E5">
        <w:rPr>
          <w:rFonts w:cs="Arial"/>
        </w:rPr>
        <w:t xml:space="preserve">the </w:t>
      </w:r>
      <w:r w:rsidRPr="00352050">
        <w:rPr>
          <w:rFonts w:cs="Arial"/>
        </w:rPr>
        <w:t>adopti</w:t>
      </w:r>
      <w:r w:rsidR="007D19E5">
        <w:rPr>
          <w:rFonts w:cs="Arial"/>
        </w:rPr>
        <w:t xml:space="preserve">on of </w:t>
      </w:r>
      <w:r w:rsidR="00771164">
        <w:rPr>
          <w:rFonts w:cs="Arial"/>
        </w:rPr>
        <w:t xml:space="preserve">these </w:t>
      </w:r>
      <w:r w:rsidRPr="00352050">
        <w:rPr>
          <w:rStyle w:val="gmail-s1"/>
          <w:rFonts w:cs="Arial"/>
        </w:rPr>
        <w:t>improvements and reforms</w:t>
      </w:r>
      <w:r w:rsidR="00771164">
        <w:rPr>
          <w:rStyle w:val="gmail-s1"/>
          <w:rFonts w:cs="Arial"/>
        </w:rPr>
        <w:t>,</w:t>
      </w:r>
      <w:r w:rsidRPr="00352050">
        <w:rPr>
          <w:rStyle w:val="gmail-s2"/>
          <w:rFonts w:cs="Arial"/>
        </w:rPr>
        <w:t xml:space="preserve"> </w:t>
      </w:r>
      <w:r w:rsidR="00C634A4">
        <w:rPr>
          <w:rFonts w:cs="Arial"/>
        </w:rPr>
        <w:t xml:space="preserve">the </w:t>
      </w:r>
      <w:r w:rsidR="00771164">
        <w:rPr>
          <w:rFonts w:cs="Arial"/>
        </w:rPr>
        <w:t>Office has</w:t>
      </w:r>
      <w:r w:rsidRPr="00352050">
        <w:rPr>
          <w:rFonts w:cs="Arial"/>
        </w:rPr>
        <w:t xml:space="preserve"> </w:t>
      </w:r>
      <w:r w:rsidR="00771164">
        <w:rPr>
          <w:rFonts w:cs="Arial"/>
        </w:rPr>
        <w:t>continued to build</w:t>
      </w:r>
      <w:r w:rsidRPr="00352050">
        <w:rPr>
          <w:rFonts w:cs="Arial"/>
        </w:rPr>
        <w:t xml:space="preserve"> effective </w:t>
      </w:r>
      <w:r w:rsidR="00B23A82">
        <w:rPr>
          <w:rFonts w:cs="Arial"/>
        </w:rPr>
        <w:t xml:space="preserve">working </w:t>
      </w:r>
      <w:r w:rsidRPr="00352050">
        <w:rPr>
          <w:rFonts w:cs="Arial"/>
        </w:rPr>
        <w:t xml:space="preserve">relationships with </w:t>
      </w:r>
      <w:r w:rsidR="007D19E5">
        <w:rPr>
          <w:rFonts w:cs="Arial"/>
        </w:rPr>
        <w:t xml:space="preserve">key </w:t>
      </w:r>
      <w:r w:rsidR="00771164">
        <w:rPr>
          <w:rFonts w:cs="Arial"/>
        </w:rPr>
        <w:t>stakeholders</w:t>
      </w:r>
      <w:r w:rsidR="00B23A82">
        <w:rPr>
          <w:rFonts w:cs="Arial"/>
        </w:rPr>
        <w:t xml:space="preserve">, allowing </w:t>
      </w:r>
      <w:r w:rsidR="00C634A4">
        <w:rPr>
          <w:rFonts w:cs="Arial"/>
        </w:rPr>
        <w:t xml:space="preserve">the Commissioner </w:t>
      </w:r>
      <w:r w:rsidR="00B23A82">
        <w:rPr>
          <w:rFonts w:cs="Arial"/>
        </w:rPr>
        <w:t xml:space="preserve">to </w:t>
      </w:r>
      <w:r w:rsidR="007D19E5">
        <w:rPr>
          <w:rFonts w:cs="Arial"/>
        </w:rPr>
        <w:t>provide valuable insights for their consideration</w:t>
      </w:r>
      <w:r w:rsidR="00771164">
        <w:rPr>
          <w:rFonts w:cs="Arial"/>
        </w:rPr>
        <w:t>.</w:t>
      </w:r>
    </w:p>
    <w:p w14:paraId="5FBB4EAB" w14:textId="1E284CA1" w:rsidR="005874E7" w:rsidRDefault="006960BA" w:rsidP="005874E7">
      <w:pPr>
        <w:spacing w:line="264" w:lineRule="auto"/>
        <w:rPr>
          <w:rFonts w:cs="Arial"/>
        </w:rPr>
      </w:pPr>
      <w:r>
        <w:rPr>
          <w:rFonts w:cs="Arial"/>
        </w:rPr>
        <w:t xml:space="preserve">Finally, </w:t>
      </w:r>
      <w:r w:rsidR="00C634A4">
        <w:rPr>
          <w:rFonts w:cs="Arial"/>
        </w:rPr>
        <w:t>the</w:t>
      </w:r>
      <w:r w:rsidR="00C634A4" w:rsidRPr="00251216">
        <w:rPr>
          <w:rFonts w:cs="Arial"/>
        </w:rPr>
        <w:t xml:space="preserve"> </w:t>
      </w:r>
      <w:r w:rsidR="00251216" w:rsidRPr="00251216">
        <w:rPr>
          <w:rFonts w:cs="Arial"/>
        </w:rPr>
        <w:t xml:space="preserve">Office also continues to maintain and update the </w:t>
      </w:r>
      <w:r w:rsidR="007D19E5">
        <w:rPr>
          <w:rFonts w:cs="Arial"/>
        </w:rPr>
        <w:t xml:space="preserve">Commissioner’s </w:t>
      </w:r>
      <w:r w:rsidR="00251216" w:rsidRPr="00251216">
        <w:rPr>
          <w:rFonts w:cs="Arial"/>
        </w:rPr>
        <w:t>website to fulfil its role as an easily accessible</w:t>
      </w:r>
      <w:r w:rsidR="007D19E5">
        <w:rPr>
          <w:rFonts w:cs="Arial"/>
        </w:rPr>
        <w:t>,</w:t>
      </w:r>
      <w:r w:rsidR="00251216" w:rsidRPr="00251216">
        <w:rPr>
          <w:rFonts w:cs="Arial"/>
        </w:rPr>
        <w:t xml:space="preserve"> independent </w:t>
      </w:r>
      <w:r w:rsidR="00B23A82">
        <w:rPr>
          <w:rFonts w:cs="Arial"/>
        </w:rPr>
        <w:t xml:space="preserve">and transparent </w:t>
      </w:r>
      <w:r w:rsidR="00251216" w:rsidRPr="00251216">
        <w:rPr>
          <w:rFonts w:cs="Arial"/>
        </w:rPr>
        <w:t xml:space="preserve">source of </w:t>
      </w:r>
      <w:r w:rsidR="00B23A82">
        <w:rPr>
          <w:rFonts w:cs="Arial"/>
        </w:rPr>
        <w:t>i</w:t>
      </w:r>
      <w:r w:rsidR="00251216" w:rsidRPr="00251216">
        <w:rPr>
          <w:rFonts w:cs="Arial"/>
        </w:rPr>
        <w:t>nformation about wind farms</w:t>
      </w:r>
      <w:r w:rsidR="007D19E5">
        <w:rPr>
          <w:rFonts w:cs="Arial"/>
        </w:rPr>
        <w:t>. The website</w:t>
      </w:r>
      <w:r w:rsidR="00251216" w:rsidRPr="00251216">
        <w:rPr>
          <w:rFonts w:cs="Arial"/>
        </w:rPr>
        <w:t xml:space="preserve"> </w:t>
      </w:r>
      <w:r w:rsidR="005874E7">
        <w:rPr>
          <w:rFonts w:cs="Arial"/>
        </w:rPr>
        <w:t>provides links to</w:t>
      </w:r>
      <w:r w:rsidR="00EB3A55">
        <w:rPr>
          <w:rFonts w:cs="Arial"/>
        </w:rPr>
        <w:t xml:space="preserve"> a variety</w:t>
      </w:r>
      <w:r w:rsidR="005874E7">
        <w:rPr>
          <w:rFonts w:cs="Arial"/>
        </w:rPr>
        <w:t xml:space="preserve"> </w:t>
      </w:r>
      <w:r w:rsidR="00AB2FC3">
        <w:rPr>
          <w:rFonts w:cs="Arial"/>
        </w:rPr>
        <w:t xml:space="preserve">of </w:t>
      </w:r>
      <w:r w:rsidR="005874E7">
        <w:rPr>
          <w:rFonts w:cs="Arial"/>
        </w:rPr>
        <w:t>information about wind farms</w:t>
      </w:r>
      <w:r w:rsidR="00251216">
        <w:rPr>
          <w:rFonts w:cs="Arial"/>
        </w:rPr>
        <w:t xml:space="preserve"> and the wind energy industry</w:t>
      </w:r>
      <w:r w:rsidR="005874E7">
        <w:rPr>
          <w:rFonts w:cs="Arial"/>
        </w:rPr>
        <w:t>,</w:t>
      </w:r>
      <w:r w:rsidR="00251216">
        <w:rPr>
          <w:rFonts w:cs="Arial"/>
        </w:rPr>
        <w:t xml:space="preserve"> including information on</w:t>
      </w:r>
      <w:r w:rsidR="00AB2FC3">
        <w:rPr>
          <w:rFonts w:cs="Arial"/>
        </w:rPr>
        <w:t xml:space="preserve"> wind energy generation, health, emergency management, planning authorities and compliance contact details</w:t>
      </w:r>
      <w:r w:rsidR="005874E7">
        <w:rPr>
          <w:rFonts w:cs="Arial"/>
        </w:rPr>
        <w:t xml:space="preserve">. </w:t>
      </w:r>
      <w:r>
        <w:rPr>
          <w:rFonts w:cs="Arial"/>
        </w:rPr>
        <w:t>The website also provides a wide range of information about</w:t>
      </w:r>
      <w:r w:rsidR="00C634A4">
        <w:rPr>
          <w:rFonts w:cs="Arial"/>
        </w:rPr>
        <w:t xml:space="preserve"> the</w:t>
      </w:r>
      <w:r>
        <w:rPr>
          <w:rFonts w:cs="Arial"/>
        </w:rPr>
        <w:t xml:space="preserve"> Office</w:t>
      </w:r>
      <w:r w:rsidR="00B23A82">
        <w:rPr>
          <w:rFonts w:cs="Arial"/>
        </w:rPr>
        <w:t>’s activities</w:t>
      </w:r>
      <w:r>
        <w:rPr>
          <w:rFonts w:cs="Arial"/>
        </w:rPr>
        <w:t xml:space="preserve"> and includes links to the Commissioner’s presentations, bulletins and other publications including the 2016 Annual Report. </w:t>
      </w:r>
      <w:r w:rsidR="005874E7">
        <w:rPr>
          <w:rFonts w:cs="Arial"/>
        </w:rPr>
        <w:t xml:space="preserve">The website can be found at </w:t>
      </w:r>
      <w:hyperlink r:id="rId20" w:history="1">
        <w:r w:rsidR="005874E7" w:rsidRPr="00735D25">
          <w:rPr>
            <w:rStyle w:val="Hyperlink"/>
            <w:rFonts w:cs="Arial"/>
          </w:rPr>
          <w:t>www.nwfc.gov.au</w:t>
        </w:r>
      </w:hyperlink>
      <w:r w:rsidR="005874E7">
        <w:rPr>
          <w:rFonts w:cs="Arial"/>
        </w:rPr>
        <w:t>.</w:t>
      </w:r>
    </w:p>
    <w:p w14:paraId="5879A4A9" w14:textId="77777777" w:rsidR="005874E7" w:rsidRPr="00F47E6D" w:rsidRDefault="005874E7" w:rsidP="005874E7">
      <w:pPr>
        <w:pStyle w:val="Heading2"/>
        <w:spacing w:line="264" w:lineRule="auto"/>
      </w:pPr>
      <w:bookmarkStart w:id="4" w:name="_Toc511140599"/>
      <w:r w:rsidRPr="00F47E6D">
        <w:t>The Year Ahead</w:t>
      </w:r>
      <w:bookmarkEnd w:id="4"/>
    </w:p>
    <w:p w14:paraId="0271F39C" w14:textId="0B107EA7" w:rsidR="00600C95" w:rsidRDefault="00070FE7" w:rsidP="005874E7">
      <w:pPr>
        <w:spacing w:line="264" w:lineRule="auto"/>
        <w:rPr>
          <w:rFonts w:cs="Arial"/>
        </w:rPr>
      </w:pPr>
      <w:r>
        <w:rPr>
          <w:rFonts w:cs="Arial"/>
        </w:rPr>
        <w:t>Wind farm activity</w:t>
      </w:r>
      <w:r w:rsidR="00600C95">
        <w:rPr>
          <w:rFonts w:cs="Arial"/>
        </w:rPr>
        <w:t xml:space="preserve"> in Australia has increased significantly in recent </w:t>
      </w:r>
      <w:r w:rsidR="001C19BE">
        <w:rPr>
          <w:rFonts w:cs="Arial"/>
        </w:rPr>
        <w:t>times</w:t>
      </w:r>
      <w:r w:rsidR="00600C95">
        <w:rPr>
          <w:rFonts w:cs="Arial"/>
        </w:rPr>
        <w:t xml:space="preserve"> and </w:t>
      </w:r>
      <w:r w:rsidR="000D39A3">
        <w:rPr>
          <w:rFonts w:cs="Arial"/>
        </w:rPr>
        <w:t xml:space="preserve">there has been </w:t>
      </w:r>
      <w:r w:rsidR="00600C95">
        <w:rPr>
          <w:rFonts w:cs="Arial"/>
        </w:rPr>
        <w:t xml:space="preserve">a surge in permit approvals and </w:t>
      </w:r>
      <w:r w:rsidR="000D39A3">
        <w:rPr>
          <w:rFonts w:cs="Arial"/>
        </w:rPr>
        <w:t xml:space="preserve">wind farm </w:t>
      </w:r>
      <w:r w:rsidR="00600C95">
        <w:rPr>
          <w:rFonts w:cs="Arial"/>
        </w:rPr>
        <w:t xml:space="preserve">construction in the last twelve months across </w:t>
      </w:r>
      <w:r w:rsidR="00DE3C55">
        <w:rPr>
          <w:rFonts w:cs="Arial"/>
        </w:rPr>
        <w:t>Australia</w:t>
      </w:r>
      <w:r w:rsidR="001C19BE">
        <w:rPr>
          <w:rFonts w:cs="Arial"/>
        </w:rPr>
        <w:t xml:space="preserve"> – after </w:t>
      </w:r>
      <w:r w:rsidR="00600C95">
        <w:rPr>
          <w:rFonts w:cs="Arial"/>
        </w:rPr>
        <w:t xml:space="preserve">a period of relative inactivity in the industry. </w:t>
      </w:r>
      <w:r w:rsidR="007D19E5">
        <w:rPr>
          <w:rFonts w:cs="Arial"/>
        </w:rPr>
        <w:t>Further, w</w:t>
      </w:r>
      <w:r w:rsidR="00600C95">
        <w:rPr>
          <w:rFonts w:cs="Arial"/>
        </w:rPr>
        <w:t xml:space="preserve">ith the announcement of </w:t>
      </w:r>
      <w:r w:rsidR="007D19E5">
        <w:rPr>
          <w:rFonts w:cs="Arial"/>
        </w:rPr>
        <w:t xml:space="preserve">programs such as the </w:t>
      </w:r>
      <w:r w:rsidR="00600C95">
        <w:rPr>
          <w:rFonts w:cs="Arial"/>
        </w:rPr>
        <w:t>Victoria</w:t>
      </w:r>
      <w:r w:rsidR="00007830">
        <w:rPr>
          <w:rFonts w:cs="Arial"/>
        </w:rPr>
        <w:t>n</w:t>
      </w:r>
      <w:r w:rsidR="00600C95">
        <w:rPr>
          <w:rFonts w:cs="Arial"/>
        </w:rPr>
        <w:t xml:space="preserve"> </w:t>
      </w:r>
      <w:r w:rsidR="00007830">
        <w:rPr>
          <w:rFonts w:cs="Arial"/>
        </w:rPr>
        <w:t>Renewable Energy Target</w:t>
      </w:r>
      <w:r w:rsidR="00600C95">
        <w:rPr>
          <w:rFonts w:cs="Arial"/>
        </w:rPr>
        <w:t xml:space="preserve"> scheme and the </w:t>
      </w:r>
      <w:r w:rsidR="00272BF7">
        <w:rPr>
          <w:rFonts w:cs="Arial"/>
        </w:rPr>
        <w:t xml:space="preserve">maturing of the </w:t>
      </w:r>
      <w:r w:rsidR="00600C95">
        <w:rPr>
          <w:rFonts w:cs="Arial"/>
        </w:rPr>
        <w:t>Federal R</w:t>
      </w:r>
      <w:r w:rsidR="00007830">
        <w:rPr>
          <w:rFonts w:cs="Arial"/>
        </w:rPr>
        <w:t xml:space="preserve">enewable Energy Target </w:t>
      </w:r>
      <w:r w:rsidR="008B45AF">
        <w:rPr>
          <w:rFonts w:cs="Arial"/>
        </w:rPr>
        <w:t>scheme</w:t>
      </w:r>
      <w:r w:rsidR="00600C95">
        <w:rPr>
          <w:rFonts w:cs="Arial"/>
        </w:rPr>
        <w:t xml:space="preserve">, </w:t>
      </w:r>
      <w:r w:rsidR="008247F6">
        <w:rPr>
          <w:rFonts w:cs="Arial"/>
        </w:rPr>
        <w:t xml:space="preserve">the Commissioner </w:t>
      </w:r>
      <w:r w:rsidR="00600C95">
        <w:rPr>
          <w:rFonts w:cs="Arial"/>
        </w:rPr>
        <w:t>anticipate</w:t>
      </w:r>
      <w:r w:rsidR="008247F6">
        <w:rPr>
          <w:rFonts w:cs="Arial"/>
        </w:rPr>
        <w:t>s</w:t>
      </w:r>
      <w:r w:rsidR="00600C95">
        <w:rPr>
          <w:rFonts w:cs="Arial"/>
        </w:rPr>
        <w:t xml:space="preserve"> </w:t>
      </w:r>
      <w:r w:rsidR="00272BF7">
        <w:rPr>
          <w:rFonts w:cs="Arial"/>
        </w:rPr>
        <w:t>an intensive period of new wind farm</w:t>
      </w:r>
      <w:r w:rsidR="001C19BE">
        <w:rPr>
          <w:rFonts w:cs="Arial"/>
        </w:rPr>
        <w:t xml:space="preserve"> permitting, </w:t>
      </w:r>
      <w:r w:rsidR="00272BF7">
        <w:rPr>
          <w:rFonts w:cs="Arial"/>
        </w:rPr>
        <w:t xml:space="preserve">construction, </w:t>
      </w:r>
      <w:r w:rsidR="001C19BE">
        <w:rPr>
          <w:rFonts w:cs="Arial"/>
        </w:rPr>
        <w:t xml:space="preserve">commissioning, </w:t>
      </w:r>
      <w:r w:rsidR="00272BF7">
        <w:rPr>
          <w:rFonts w:cs="Arial"/>
        </w:rPr>
        <w:t>testing and operational activit</w:t>
      </w:r>
      <w:r w:rsidR="00DE3C55">
        <w:rPr>
          <w:rFonts w:cs="Arial"/>
        </w:rPr>
        <w:t>y</w:t>
      </w:r>
      <w:r w:rsidR="00272BF7">
        <w:rPr>
          <w:rFonts w:cs="Arial"/>
        </w:rPr>
        <w:t xml:space="preserve"> in the 2018-2020 period.</w:t>
      </w:r>
    </w:p>
    <w:p w14:paraId="4DAED52A" w14:textId="0926D96A" w:rsidR="005874E7" w:rsidRDefault="00E42DF8" w:rsidP="005874E7">
      <w:pPr>
        <w:spacing w:line="264" w:lineRule="auto"/>
        <w:rPr>
          <w:rFonts w:cs="Arial"/>
        </w:rPr>
      </w:pPr>
      <w:r>
        <w:rPr>
          <w:rFonts w:ascii="Calibri Light" w:hAnsi="Calibri Light"/>
          <w:b/>
          <w:noProof/>
          <w:lang w:eastAsia="en-AU"/>
        </w:rPr>
        <w:drawing>
          <wp:anchor distT="0" distB="0" distL="114300" distR="114300" simplePos="0" relativeHeight="251660288" behindDoc="1" locked="0" layoutInCell="1" allowOverlap="1" wp14:anchorId="64CCA2CB" wp14:editId="3F1371F2">
            <wp:simplePos x="0" y="0"/>
            <wp:positionH relativeFrom="column">
              <wp:posOffset>3495675</wp:posOffset>
            </wp:positionH>
            <wp:positionV relativeFrom="page">
              <wp:posOffset>8058150</wp:posOffset>
            </wp:positionV>
            <wp:extent cx="2914650" cy="2133600"/>
            <wp:effectExtent l="0" t="0" r="0" b="0"/>
            <wp:wrapSquare wrapText="bothSides"/>
            <wp:docPr id="4" name="Picture 4" descr="C:\Users\A19544\AppData\Local\Microsoft\Windows\Temporary Internet Files\Content.Word\Andrew Dyer Bio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19544\AppData\Local\Microsoft\Windows\Temporary Internet Files\Content.Word\Andrew Dyer Bio Photo.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5774" t="5089" r="19307" b="63246"/>
                    <a:stretch/>
                  </pic:blipFill>
                  <pic:spPr bwMode="auto">
                    <a:xfrm>
                      <a:off x="0" y="0"/>
                      <a:ext cx="2914650" cy="2133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874E7">
        <w:rPr>
          <w:rFonts w:cs="Arial"/>
        </w:rPr>
        <w:t>In 201</w:t>
      </w:r>
      <w:r w:rsidR="00AB2FC3">
        <w:rPr>
          <w:rFonts w:cs="Arial"/>
        </w:rPr>
        <w:t>8</w:t>
      </w:r>
      <w:r w:rsidR="005874E7">
        <w:rPr>
          <w:rFonts w:cs="Arial"/>
        </w:rPr>
        <w:t>, t</w:t>
      </w:r>
      <w:r w:rsidR="005874E7" w:rsidRPr="00F47E6D">
        <w:rPr>
          <w:rFonts w:cs="Arial"/>
        </w:rPr>
        <w:t xml:space="preserve">he Office will </w:t>
      </w:r>
      <w:r w:rsidR="00EA2C5E">
        <w:rPr>
          <w:rStyle w:val="gmail-s1"/>
          <w:rFonts w:cs="Arial"/>
        </w:rPr>
        <w:t xml:space="preserve">continue to focus on promoting the adoption of a </w:t>
      </w:r>
      <w:r w:rsidR="002F0B0D" w:rsidRPr="00600C95">
        <w:rPr>
          <w:rStyle w:val="gmail-s1"/>
          <w:rFonts w:cs="Arial"/>
        </w:rPr>
        <w:t>range of improvements and reforms within the industry</w:t>
      </w:r>
      <w:r w:rsidR="00272BF7">
        <w:rPr>
          <w:rStyle w:val="gmail-s1"/>
          <w:rFonts w:cs="Arial"/>
        </w:rPr>
        <w:t xml:space="preserve"> and governing bodies</w:t>
      </w:r>
      <w:r w:rsidR="002F0B0D" w:rsidRPr="00600C95">
        <w:rPr>
          <w:rStyle w:val="gmail-s2"/>
          <w:rFonts w:cs="Arial"/>
        </w:rPr>
        <w:t xml:space="preserve">. </w:t>
      </w:r>
      <w:r w:rsidR="002F0B0D">
        <w:rPr>
          <w:rStyle w:val="gmail-s2"/>
          <w:rFonts w:cs="Arial"/>
        </w:rPr>
        <w:t xml:space="preserve">The Office will </w:t>
      </w:r>
      <w:r w:rsidR="002F0B0D">
        <w:rPr>
          <w:rFonts w:cs="Arial"/>
        </w:rPr>
        <w:t xml:space="preserve">also </w:t>
      </w:r>
      <w:r w:rsidR="005874E7" w:rsidRPr="00F47E6D">
        <w:rPr>
          <w:rFonts w:cs="Arial"/>
        </w:rPr>
        <w:t xml:space="preserve">continue to play an important role in complaint </w:t>
      </w:r>
      <w:r w:rsidR="005874E7">
        <w:rPr>
          <w:rFonts w:cs="Arial"/>
        </w:rPr>
        <w:t xml:space="preserve">referral and </w:t>
      </w:r>
      <w:r w:rsidR="005874E7" w:rsidRPr="00F47E6D">
        <w:rPr>
          <w:rFonts w:cs="Arial"/>
        </w:rPr>
        <w:t>facilitation</w:t>
      </w:r>
      <w:r w:rsidR="005874E7">
        <w:rPr>
          <w:rFonts w:cs="Arial"/>
        </w:rPr>
        <w:t xml:space="preserve"> for community members</w:t>
      </w:r>
      <w:r w:rsidR="002F0B0D">
        <w:rPr>
          <w:rFonts w:cs="Arial"/>
        </w:rPr>
        <w:t xml:space="preserve"> </w:t>
      </w:r>
      <w:r w:rsidR="005874E7">
        <w:rPr>
          <w:rFonts w:cs="Arial"/>
        </w:rPr>
        <w:t>–</w:t>
      </w:r>
      <w:r w:rsidR="002F0B0D">
        <w:rPr>
          <w:rFonts w:cs="Arial"/>
        </w:rPr>
        <w:t xml:space="preserve"> </w:t>
      </w:r>
      <w:r w:rsidR="005874E7">
        <w:rPr>
          <w:rFonts w:cs="Arial"/>
        </w:rPr>
        <w:t xml:space="preserve">both </w:t>
      </w:r>
      <w:r w:rsidR="00EA2C5E">
        <w:rPr>
          <w:rFonts w:cs="Arial"/>
        </w:rPr>
        <w:t xml:space="preserve">for </w:t>
      </w:r>
      <w:r w:rsidR="005874E7">
        <w:rPr>
          <w:rFonts w:cs="Arial"/>
        </w:rPr>
        <w:t xml:space="preserve">existing complaints that are in progress as </w:t>
      </w:r>
      <w:r w:rsidR="00FC40D0">
        <w:rPr>
          <w:rFonts w:cs="Arial"/>
        </w:rPr>
        <w:t>well as new complaints received.</w:t>
      </w:r>
    </w:p>
    <w:p w14:paraId="47348A11" w14:textId="7297E360" w:rsidR="005874E7" w:rsidRPr="00F47E6D" w:rsidRDefault="00FC40D0" w:rsidP="005874E7">
      <w:pPr>
        <w:spacing w:line="264" w:lineRule="auto"/>
        <w:rPr>
          <w:rFonts w:cs="Arial"/>
        </w:rPr>
      </w:pPr>
      <w:r>
        <w:rPr>
          <w:rFonts w:cs="Arial"/>
        </w:rPr>
        <w:t xml:space="preserve">In 2018, </w:t>
      </w:r>
      <w:r w:rsidR="008247F6">
        <w:rPr>
          <w:rFonts w:cs="Arial"/>
        </w:rPr>
        <w:t>the Office</w:t>
      </w:r>
      <w:r w:rsidR="008247F6" w:rsidRPr="00F47E6D">
        <w:rPr>
          <w:rFonts w:cs="Arial"/>
        </w:rPr>
        <w:t xml:space="preserve"> </w:t>
      </w:r>
      <w:r w:rsidR="005874E7" w:rsidRPr="00F47E6D">
        <w:rPr>
          <w:rFonts w:cs="Arial"/>
        </w:rPr>
        <w:t xml:space="preserve">will also </w:t>
      </w:r>
      <w:r w:rsidR="005874E7">
        <w:rPr>
          <w:rFonts w:cs="Arial"/>
        </w:rPr>
        <w:t>focus on</w:t>
      </w:r>
      <w:r w:rsidR="005874E7" w:rsidRPr="00F47E6D">
        <w:rPr>
          <w:rFonts w:cs="Arial"/>
        </w:rPr>
        <w:t>:</w:t>
      </w:r>
    </w:p>
    <w:p w14:paraId="45A197E6" w14:textId="40390279" w:rsidR="005874E7" w:rsidRPr="00F47E6D" w:rsidRDefault="005874E7" w:rsidP="00D35B01">
      <w:pPr>
        <w:pStyle w:val="ListBullet"/>
        <w:numPr>
          <w:ilvl w:val="0"/>
          <w:numId w:val="27"/>
        </w:numPr>
        <w:spacing w:line="264" w:lineRule="auto"/>
        <w:rPr>
          <w:rFonts w:cs="Arial"/>
        </w:rPr>
      </w:pPr>
      <w:r>
        <w:rPr>
          <w:rFonts w:cs="Arial"/>
        </w:rPr>
        <w:t xml:space="preserve">assisting industry to further improve its effectiveness in complaint handling and </w:t>
      </w:r>
      <w:r w:rsidR="00272BF7">
        <w:rPr>
          <w:rFonts w:cs="Arial"/>
        </w:rPr>
        <w:t xml:space="preserve">proactive </w:t>
      </w:r>
      <w:r>
        <w:rPr>
          <w:rFonts w:cs="Arial"/>
        </w:rPr>
        <w:t>community engagement</w:t>
      </w:r>
    </w:p>
    <w:p w14:paraId="634D37B5" w14:textId="575CBA69" w:rsidR="005874E7" w:rsidRDefault="005874E7" w:rsidP="00D35B01">
      <w:pPr>
        <w:pStyle w:val="ListBullet"/>
        <w:numPr>
          <w:ilvl w:val="0"/>
          <w:numId w:val="27"/>
        </w:numPr>
        <w:spacing w:line="264" w:lineRule="auto"/>
        <w:rPr>
          <w:rFonts w:cs="Arial"/>
        </w:rPr>
      </w:pPr>
      <w:r>
        <w:rPr>
          <w:rFonts w:cs="Arial"/>
        </w:rPr>
        <w:t xml:space="preserve">working with a variety of stakeholders to consult on </w:t>
      </w:r>
      <w:r w:rsidR="00C634A4">
        <w:rPr>
          <w:rFonts w:cs="Arial"/>
        </w:rPr>
        <w:t xml:space="preserve">the Commissioner’s </w:t>
      </w:r>
      <w:r w:rsidR="00272BF7">
        <w:rPr>
          <w:rFonts w:cs="Arial"/>
        </w:rPr>
        <w:t xml:space="preserve">updated </w:t>
      </w:r>
      <w:r>
        <w:rPr>
          <w:rFonts w:cs="Arial"/>
        </w:rPr>
        <w:lastRenderedPageBreak/>
        <w:t>recommendations</w:t>
      </w:r>
      <w:r w:rsidR="00C634A4">
        <w:rPr>
          <w:rFonts w:cs="Arial"/>
        </w:rPr>
        <w:t xml:space="preserve"> </w:t>
      </w:r>
      <w:r w:rsidR="001C19BE">
        <w:rPr>
          <w:rFonts w:cs="Arial"/>
        </w:rPr>
        <w:t>contained in this report</w:t>
      </w:r>
      <w:r w:rsidR="00C634A4">
        <w:rPr>
          <w:rFonts w:cs="Arial"/>
        </w:rPr>
        <w:t xml:space="preserve"> and </w:t>
      </w:r>
      <w:r w:rsidR="001C19BE">
        <w:rPr>
          <w:rFonts w:cs="Arial"/>
        </w:rPr>
        <w:t xml:space="preserve">seeking </w:t>
      </w:r>
      <w:r>
        <w:rPr>
          <w:rFonts w:cs="Arial"/>
        </w:rPr>
        <w:t xml:space="preserve">adoption of </w:t>
      </w:r>
      <w:r w:rsidR="00C634A4">
        <w:rPr>
          <w:rFonts w:cs="Arial"/>
        </w:rPr>
        <w:t xml:space="preserve">these </w:t>
      </w:r>
      <w:r>
        <w:rPr>
          <w:rFonts w:cs="Arial"/>
        </w:rPr>
        <w:t>recommendations where practical</w:t>
      </w:r>
    </w:p>
    <w:p w14:paraId="61BAAC8A" w14:textId="0C9CB56E" w:rsidR="00272BF7" w:rsidRPr="00F47E6D" w:rsidRDefault="00272BF7" w:rsidP="00D35B01">
      <w:pPr>
        <w:pStyle w:val="ListBullet"/>
        <w:numPr>
          <w:ilvl w:val="0"/>
          <w:numId w:val="27"/>
        </w:numPr>
        <w:spacing w:line="264" w:lineRule="auto"/>
        <w:rPr>
          <w:rFonts w:cs="Arial"/>
        </w:rPr>
      </w:pPr>
      <w:r>
        <w:rPr>
          <w:rFonts w:cs="Arial"/>
        </w:rPr>
        <w:t xml:space="preserve">championing a range of broader reforms, </w:t>
      </w:r>
      <w:r w:rsidR="001C19BE">
        <w:rPr>
          <w:rFonts w:cs="Arial"/>
        </w:rPr>
        <w:t xml:space="preserve">as </w:t>
      </w:r>
      <w:r>
        <w:rPr>
          <w:rFonts w:cs="Arial"/>
        </w:rPr>
        <w:t xml:space="preserve">detailed </w:t>
      </w:r>
      <w:r w:rsidR="001C19BE">
        <w:rPr>
          <w:rFonts w:cs="Arial"/>
        </w:rPr>
        <w:t xml:space="preserve">later </w:t>
      </w:r>
      <w:r>
        <w:rPr>
          <w:rFonts w:cs="Arial"/>
        </w:rPr>
        <w:t>in this report</w:t>
      </w:r>
      <w:r w:rsidR="00E42DF8">
        <w:rPr>
          <w:rFonts w:cs="Arial"/>
        </w:rPr>
        <w:t>, and</w:t>
      </w:r>
    </w:p>
    <w:p w14:paraId="245EFCD6" w14:textId="1B683ACB" w:rsidR="005874E7" w:rsidRDefault="005874E7" w:rsidP="00D35B01">
      <w:pPr>
        <w:pStyle w:val="ListBullet"/>
        <w:numPr>
          <w:ilvl w:val="0"/>
          <w:numId w:val="27"/>
        </w:numPr>
        <w:spacing w:line="264" w:lineRule="auto"/>
        <w:rPr>
          <w:rFonts w:cs="Arial"/>
        </w:rPr>
      </w:pPr>
      <w:r>
        <w:rPr>
          <w:rFonts w:cs="Arial"/>
        </w:rPr>
        <w:t>updat</w:t>
      </w:r>
      <w:r w:rsidR="00272BF7">
        <w:rPr>
          <w:rFonts w:cs="Arial"/>
        </w:rPr>
        <w:t>ing</w:t>
      </w:r>
      <w:r>
        <w:rPr>
          <w:rFonts w:cs="Arial"/>
        </w:rPr>
        <w:t xml:space="preserve"> </w:t>
      </w:r>
      <w:r w:rsidR="005302ED">
        <w:rPr>
          <w:rFonts w:cs="Arial"/>
        </w:rPr>
        <w:t xml:space="preserve">the Commissioner’s </w:t>
      </w:r>
      <w:r>
        <w:rPr>
          <w:rFonts w:cs="Arial"/>
        </w:rPr>
        <w:t>website with further information to improve transparency of the wind farm industry and its governance</w:t>
      </w:r>
      <w:r w:rsidRPr="00F47E6D">
        <w:rPr>
          <w:rFonts w:cs="Arial"/>
        </w:rPr>
        <w:t>.</w:t>
      </w:r>
    </w:p>
    <w:p w14:paraId="1773E5D4" w14:textId="5FB1A2D1" w:rsidR="00C12BCF" w:rsidRPr="00EA2C5E" w:rsidRDefault="00EA2C5E" w:rsidP="00EA2C5E">
      <w:pPr>
        <w:spacing w:line="264" w:lineRule="auto"/>
        <w:rPr>
          <w:rFonts w:cs="Arial"/>
        </w:rPr>
      </w:pPr>
      <w:r w:rsidRPr="00EA2C5E">
        <w:rPr>
          <w:rFonts w:cs="Arial"/>
        </w:rPr>
        <w:t xml:space="preserve">The </w:t>
      </w:r>
      <w:r w:rsidR="001C19BE">
        <w:rPr>
          <w:rFonts w:cs="Arial"/>
        </w:rPr>
        <w:t xml:space="preserve">initial </w:t>
      </w:r>
      <w:r w:rsidRPr="00EA2C5E">
        <w:rPr>
          <w:rFonts w:cs="Arial"/>
        </w:rPr>
        <w:t xml:space="preserve">term of the Office concludes on 31 October 2018. Consistent with </w:t>
      </w:r>
      <w:r w:rsidR="005302ED">
        <w:rPr>
          <w:rFonts w:cs="Arial"/>
        </w:rPr>
        <w:t>the Commissioner’s</w:t>
      </w:r>
      <w:r w:rsidRPr="00EA2C5E">
        <w:rPr>
          <w:rFonts w:cs="Arial"/>
        </w:rPr>
        <w:t xml:space="preserve"> Terms of Reference, the Australian Government will undertake a review of </w:t>
      </w:r>
      <w:r w:rsidR="005302ED">
        <w:rPr>
          <w:rFonts w:cs="Arial"/>
        </w:rPr>
        <w:t xml:space="preserve">the Commissioner’s </w:t>
      </w:r>
      <w:r w:rsidRPr="00EA2C5E">
        <w:rPr>
          <w:rFonts w:cs="Arial"/>
        </w:rPr>
        <w:t xml:space="preserve">role during the first half of 2018. </w:t>
      </w:r>
      <w:r w:rsidR="00D35809">
        <w:rPr>
          <w:rFonts w:cs="Arial"/>
        </w:rPr>
        <w:t>The Commissioner</w:t>
      </w:r>
      <w:r w:rsidR="00D35809" w:rsidRPr="00EA2C5E">
        <w:rPr>
          <w:rFonts w:cs="Arial"/>
        </w:rPr>
        <w:t xml:space="preserve"> </w:t>
      </w:r>
      <w:r w:rsidRPr="00EA2C5E">
        <w:rPr>
          <w:rFonts w:cs="Arial"/>
        </w:rPr>
        <w:t>look</w:t>
      </w:r>
      <w:r w:rsidR="00D35809">
        <w:rPr>
          <w:rFonts w:cs="Arial"/>
        </w:rPr>
        <w:t>s</w:t>
      </w:r>
      <w:r w:rsidRPr="00EA2C5E">
        <w:rPr>
          <w:rFonts w:cs="Arial"/>
        </w:rPr>
        <w:t xml:space="preserve"> forward to participating in the review and to its recommendations</w:t>
      </w:r>
      <w:r w:rsidR="000160E7">
        <w:rPr>
          <w:rFonts w:cs="Arial"/>
        </w:rPr>
        <w:t>.</w:t>
      </w:r>
      <w:r w:rsidR="001C19BE">
        <w:rPr>
          <w:rFonts w:cs="Arial"/>
        </w:rPr>
        <w:t xml:space="preserve"> </w:t>
      </w:r>
      <w:r w:rsidR="00D35809">
        <w:rPr>
          <w:rFonts w:cs="Arial"/>
        </w:rPr>
        <w:t xml:space="preserve">The Office </w:t>
      </w:r>
      <w:r>
        <w:rPr>
          <w:rFonts w:cs="Arial"/>
        </w:rPr>
        <w:t>understand</w:t>
      </w:r>
      <w:r w:rsidRPr="00EA2C5E">
        <w:rPr>
          <w:rFonts w:cs="Arial"/>
        </w:rPr>
        <w:t xml:space="preserve"> the review will include opportunities for stakeholders to contribute their views on the effectiveness of the Commissioner’s role.</w:t>
      </w:r>
    </w:p>
    <w:p w14:paraId="6B166EAA" w14:textId="77777777" w:rsidR="005874E7" w:rsidRPr="0095185F" w:rsidRDefault="005874E7" w:rsidP="00600C95">
      <w:pPr>
        <w:pStyle w:val="ListBullet"/>
        <w:numPr>
          <w:ilvl w:val="0"/>
          <w:numId w:val="0"/>
        </w:numPr>
        <w:spacing w:line="264" w:lineRule="auto"/>
        <w:rPr>
          <w:rFonts w:cs="Arial"/>
        </w:rPr>
      </w:pPr>
      <w:r>
        <w:rPr>
          <w:rFonts w:cs="Arial"/>
          <w:noProof/>
          <w:lang w:eastAsia="en-AU"/>
        </w:rPr>
        <w:drawing>
          <wp:inline distT="0" distB="0" distL="0" distR="0" wp14:anchorId="001BC41A" wp14:editId="443ED53D">
            <wp:extent cx="857250" cy="586699"/>
            <wp:effectExtent l="0" t="0" r="0" b="4445"/>
            <wp:docPr id="7" name="Picture 7" descr="\\pvac01file02\user$\A19544\Profile\Desktop\Private\Andrew Dyers Signatu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vac01file02\user$\A19544\Profile\Desktop\Private\Andrew Dyers Signature 2.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981" cy="591306"/>
                    </a:xfrm>
                    <a:prstGeom prst="rect">
                      <a:avLst/>
                    </a:prstGeom>
                    <a:noFill/>
                    <a:ln>
                      <a:noFill/>
                    </a:ln>
                  </pic:spPr>
                </pic:pic>
              </a:graphicData>
            </a:graphic>
          </wp:inline>
        </w:drawing>
      </w:r>
    </w:p>
    <w:p w14:paraId="56A05031" w14:textId="77777777" w:rsidR="005874E7" w:rsidRPr="00F47E6D" w:rsidRDefault="005874E7" w:rsidP="005874E7">
      <w:pPr>
        <w:spacing w:after="0" w:line="264" w:lineRule="auto"/>
        <w:rPr>
          <w:rFonts w:cs="Arial"/>
          <w:b/>
        </w:rPr>
      </w:pPr>
      <w:r w:rsidRPr="00F47E6D">
        <w:rPr>
          <w:rFonts w:cs="Arial"/>
          <w:b/>
        </w:rPr>
        <w:t>Andrew Dyer</w:t>
      </w:r>
    </w:p>
    <w:p w14:paraId="5F3138F2" w14:textId="77777777" w:rsidR="005874E7" w:rsidRPr="00B57C6A" w:rsidRDefault="005874E7" w:rsidP="005874E7">
      <w:pPr>
        <w:spacing w:line="264" w:lineRule="auto"/>
        <w:rPr>
          <w:rFonts w:cs="Arial"/>
          <w:b/>
        </w:rPr>
      </w:pPr>
      <w:r>
        <w:rPr>
          <w:rFonts w:cs="Arial"/>
          <w:b/>
        </w:rPr>
        <w:t xml:space="preserve">National Wind Farm </w:t>
      </w:r>
      <w:r w:rsidRPr="00F47E6D">
        <w:rPr>
          <w:rFonts w:cs="Arial"/>
          <w:b/>
        </w:rPr>
        <w:t>Commissioner</w:t>
      </w:r>
    </w:p>
    <w:p w14:paraId="7E629140" w14:textId="77777777" w:rsidR="005874E7" w:rsidRDefault="005874E7" w:rsidP="005874E7">
      <w:pPr>
        <w:spacing w:after="0" w:line="240" w:lineRule="auto"/>
        <w:jc w:val="center"/>
        <w:rPr>
          <w:rFonts w:ascii="Calibri Light" w:hAnsi="Calibri Light"/>
          <w:b/>
        </w:rPr>
      </w:pPr>
    </w:p>
    <w:p w14:paraId="266B2F53" w14:textId="77777777" w:rsidR="005874E7" w:rsidRDefault="005874E7" w:rsidP="005874E7">
      <w:pPr>
        <w:spacing w:after="0" w:line="240" w:lineRule="auto"/>
        <w:jc w:val="center"/>
        <w:rPr>
          <w:rFonts w:ascii="Calibri Light" w:hAnsi="Calibri Light"/>
          <w:b/>
        </w:rPr>
        <w:sectPr w:rsidR="005874E7" w:rsidSect="00C90C75">
          <w:headerReference w:type="even" r:id="rId22"/>
          <w:headerReference w:type="default" r:id="rId23"/>
          <w:footerReference w:type="default" r:id="rId24"/>
          <w:headerReference w:type="first" r:id="rId25"/>
          <w:pgSz w:w="11906" w:h="16838"/>
          <w:pgMar w:top="720" w:right="720" w:bottom="720" w:left="720" w:header="425" w:footer="425" w:gutter="0"/>
          <w:cols w:space="708"/>
          <w:docGrid w:linePitch="360"/>
        </w:sectPr>
      </w:pPr>
    </w:p>
    <w:p w14:paraId="79034C5B" w14:textId="77777777" w:rsidR="005874E7" w:rsidRPr="00F47E6D" w:rsidRDefault="005874E7" w:rsidP="005874E7">
      <w:pPr>
        <w:pStyle w:val="Heading1"/>
      </w:pPr>
      <w:bookmarkStart w:id="5" w:name="_Toc511140600"/>
      <w:bookmarkStart w:id="6" w:name="_Toc473795853"/>
      <w:r w:rsidRPr="00F47E6D">
        <w:lastRenderedPageBreak/>
        <w:t>Overview</w:t>
      </w:r>
      <w:bookmarkEnd w:id="5"/>
    </w:p>
    <w:p w14:paraId="0E952AA9" w14:textId="77777777" w:rsidR="005874E7" w:rsidRPr="00F47E6D" w:rsidRDefault="005874E7" w:rsidP="005874E7">
      <w:pPr>
        <w:pStyle w:val="Heading2"/>
      </w:pPr>
      <w:bookmarkStart w:id="7" w:name="_Toc511140601"/>
      <w:bookmarkEnd w:id="6"/>
      <w:r w:rsidRPr="00F47E6D">
        <w:t>What We Do</w:t>
      </w:r>
      <w:bookmarkEnd w:id="7"/>
    </w:p>
    <w:p w14:paraId="0B924294" w14:textId="013CCCB5" w:rsidR="005874E7" w:rsidRDefault="005874E7" w:rsidP="005874E7">
      <w:pPr>
        <w:rPr>
          <w:rFonts w:cs="Arial"/>
        </w:rPr>
      </w:pPr>
      <w:r w:rsidRPr="00F47E6D">
        <w:rPr>
          <w:rFonts w:cs="Arial"/>
        </w:rPr>
        <w:t xml:space="preserve">Established for </w:t>
      </w:r>
      <w:r>
        <w:rPr>
          <w:rFonts w:cs="Arial"/>
        </w:rPr>
        <w:t>an initial</w:t>
      </w:r>
      <w:r w:rsidRPr="00F47E6D">
        <w:rPr>
          <w:rFonts w:cs="Arial"/>
        </w:rPr>
        <w:t xml:space="preserve"> period of three years, the National Wind Farm Comm</w:t>
      </w:r>
      <w:r>
        <w:rPr>
          <w:rFonts w:cs="Arial"/>
        </w:rPr>
        <w:t>issioner is an independent role.</w:t>
      </w:r>
      <w:r w:rsidRPr="00F47E6D">
        <w:rPr>
          <w:rFonts w:cs="Arial"/>
        </w:rPr>
        <w:t xml:space="preserve"> </w:t>
      </w:r>
      <w:r>
        <w:rPr>
          <w:rFonts w:cs="Arial"/>
        </w:rPr>
        <w:t>The role</w:t>
      </w:r>
      <w:r w:rsidR="007E2B56">
        <w:rPr>
          <w:rFonts w:cs="Arial"/>
        </w:rPr>
        <w:t>’s creation</w:t>
      </w:r>
      <w:r>
        <w:rPr>
          <w:rFonts w:cs="Arial"/>
        </w:rPr>
        <w:t xml:space="preserve"> was </w:t>
      </w:r>
      <w:r w:rsidR="007E2B56">
        <w:rPr>
          <w:rFonts w:cs="Arial"/>
        </w:rPr>
        <w:t>initiated by</w:t>
      </w:r>
      <w:r>
        <w:rPr>
          <w:rFonts w:cs="Arial"/>
        </w:rPr>
        <w:t xml:space="preserve"> </w:t>
      </w:r>
      <w:r w:rsidRPr="00F47E6D">
        <w:rPr>
          <w:rFonts w:cs="Arial"/>
        </w:rPr>
        <w:t>Recommendation 5 of the 2015 Senate Committee o</w:t>
      </w:r>
      <w:r>
        <w:rPr>
          <w:rFonts w:cs="Arial"/>
        </w:rPr>
        <w:t>n Wind Turbines Interim Report, which stated:</w:t>
      </w:r>
    </w:p>
    <w:p w14:paraId="0510EF8D" w14:textId="77777777" w:rsidR="005874E7" w:rsidRPr="00964892" w:rsidRDefault="005874E7" w:rsidP="005874E7">
      <w:pPr>
        <w:rPr>
          <w:rStyle w:val="Strong"/>
          <w:b w:val="0"/>
          <w:i/>
          <w:iCs/>
          <w:lang w:val="en"/>
        </w:rPr>
      </w:pPr>
      <w:r w:rsidRPr="00964892">
        <w:rPr>
          <w:rStyle w:val="Strong"/>
          <w:b w:val="0"/>
          <w:i/>
          <w:iCs/>
          <w:lang w:val="en"/>
        </w:rPr>
        <w:t xml:space="preserve">‘The </w:t>
      </w:r>
      <w:r>
        <w:rPr>
          <w:rStyle w:val="Strong"/>
          <w:b w:val="0"/>
          <w:i/>
          <w:iCs/>
          <w:lang w:val="en"/>
        </w:rPr>
        <w:t>C</w:t>
      </w:r>
      <w:r w:rsidRPr="00964892">
        <w:rPr>
          <w:rStyle w:val="Strong"/>
          <w:b w:val="0"/>
          <w:i/>
          <w:iCs/>
          <w:lang w:val="en"/>
        </w:rPr>
        <w:t xml:space="preserve">ommittee recommends that the Commonwealth Government establish a </w:t>
      </w:r>
      <w:r w:rsidRPr="00964892">
        <w:rPr>
          <w:rStyle w:val="Emphasis"/>
          <w:b/>
          <w:bCs/>
          <w:i w:val="0"/>
          <w:iCs w:val="0"/>
          <w:lang w:val="en"/>
        </w:rPr>
        <w:t>National Wind Farm Ombudsman</w:t>
      </w:r>
      <w:r w:rsidRPr="00964892">
        <w:rPr>
          <w:rStyle w:val="Strong"/>
          <w:b w:val="0"/>
          <w:i/>
          <w:iCs/>
          <w:lang w:val="en"/>
        </w:rPr>
        <w:t xml:space="preserve"> to handle complaints from concerned community residents about the operations of wind turbine facilities accredited to receive renewable energy certificates. The Ombudsman will be a one-stop-shop to refer complaints to relevant state authorities and help ensure that complaints are satisfactorily addressed.’</w:t>
      </w:r>
    </w:p>
    <w:p w14:paraId="75C2A825" w14:textId="77777777" w:rsidR="005874E7" w:rsidRDefault="005874E7" w:rsidP="005874E7">
      <w:pPr>
        <w:rPr>
          <w:rFonts w:cs="Arial"/>
        </w:rPr>
      </w:pPr>
      <w:r>
        <w:rPr>
          <w:rFonts w:cs="Arial"/>
        </w:rPr>
        <w:t>T</w:t>
      </w:r>
      <w:r w:rsidRPr="00F47E6D">
        <w:rPr>
          <w:rFonts w:cs="Arial"/>
        </w:rPr>
        <w:t xml:space="preserve">he Commissioner </w:t>
      </w:r>
      <w:r>
        <w:rPr>
          <w:rFonts w:cs="Arial"/>
        </w:rPr>
        <w:t>is g</w:t>
      </w:r>
      <w:r w:rsidRPr="00F47E6D">
        <w:rPr>
          <w:rFonts w:cs="Arial"/>
        </w:rPr>
        <w:t xml:space="preserve">uided by </w:t>
      </w:r>
      <w:r>
        <w:rPr>
          <w:rFonts w:cs="Arial"/>
        </w:rPr>
        <w:t xml:space="preserve">the </w:t>
      </w:r>
      <w:r w:rsidRPr="00F47E6D">
        <w:rPr>
          <w:rFonts w:cs="Arial"/>
        </w:rPr>
        <w:t xml:space="preserve">Terms of Reference issued by the </w:t>
      </w:r>
      <w:r>
        <w:rPr>
          <w:rFonts w:cs="Arial"/>
        </w:rPr>
        <w:t xml:space="preserve">then </w:t>
      </w:r>
      <w:r w:rsidRPr="00F47E6D">
        <w:rPr>
          <w:rFonts w:cs="Arial"/>
        </w:rPr>
        <w:t>Minister for the Environment in October 2015</w:t>
      </w:r>
      <w:r>
        <w:rPr>
          <w:rFonts w:cs="Arial"/>
        </w:rPr>
        <w:t>,</w:t>
      </w:r>
      <w:r w:rsidRPr="00F47E6D">
        <w:rPr>
          <w:rFonts w:cs="Arial"/>
        </w:rPr>
        <w:t xml:space="preserve"> and revised in May 2016</w:t>
      </w:r>
      <w:r>
        <w:rPr>
          <w:rFonts w:cs="Arial"/>
        </w:rPr>
        <w:t xml:space="preserve"> (see </w:t>
      </w:r>
      <w:r w:rsidRPr="003916B2">
        <w:rPr>
          <w:rFonts w:cs="Arial"/>
          <w:u w:val="single"/>
        </w:rPr>
        <w:t>Appendix A</w:t>
      </w:r>
      <w:r>
        <w:rPr>
          <w:rFonts w:cs="Arial"/>
        </w:rPr>
        <w:t xml:space="preserve">). </w:t>
      </w:r>
    </w:p>
    <w:p w14:paraId="47B98EEC" w14:textId="31B3B90F" w:rsidR="005874E7" w:rsidRPr="00F47E6D" w:rsidRDefault="007E2B56" w:rsidP="005874E7">
      <w:pPr>
        <w:rPr>
          <w:rFonts w:cs="Arial"/>
        </w:rPr>
      </w:pPr>
      <w:r>
        <w:rPr>
          <w:rFonts w:cs="Arial"/>
        </w:rPr>
        <w:t xml:space="preserve">A </w:t>
      </w:r>
      <w:r w:rsidR="005874E7" w:rsidRPr="00F47E6D">
        <w:rPr>
          <w:rFonts w:cs="Arial"/>
        </w:rPr>
        <w:t xml:space="preserve">primary function of the </w:t>
      </w:r>
      <w:r w:rsidR="005874E7">
        <w:rPr>
          <w:rFonts w:cs="Arial"/>
        </w:rPr>
        <w:t xml:space="preserve">Commissioner’s </w:t>
      </w:r>
      <w:r w:rsidR="005874E7" w:rsidRPr="00F47E6D">
        <w:rPr>
          <w:rFonts w:cs="Arial"/>
        </w:rPr>
        <w:t xml:space="preserve">Office is to receive </w:t>
      </w:r>
      <w:r w:rsidR="005874E7">
        <w:rPr>
          <w:rFonts w:cs="Arial"/>
        </w:rPr>
        <w:t xml:space="preserve">and refer </w:t>
      </w:r>
      <w:r w:rsidR="005874E7" w:rsidRPr="00F47E6D">
        <w:rPr>
          <w:rFonts w:cs="Arial"/>
        </w:rPr>
        <w:t xml:space="preserve">complaints from concerned community members about </w:t>
      </w:r>
      <w:r w:rsidR="005874E7">
        <w:rPr>
          <w:rFonts w:cs="Arial"/>
        </w:rPr>
        <w:t xml:space="preserve">operating and proposed </w:t>
      </w:r>
      <w:r w:rsidR="005874E7" w:rsidRPr="00F47E6D">
        <w:rPr>
          <w:rFonts w:cs="Arial"/>
        </w:rPr>
        <w:t>wind farms and</w:t>
      </w:r>
      <w:r w:rsidR="001B0419">
        <w:rPr>
          <w:rFonts w:cs="Arial"/>
        </w:rPr>
        <w:t>, via a voluntary process,</w:t>
      </w:r>
      <w:r w:rsidR="005874E7" w:rsidRPr="00F47E6D">
        <w:rPr>
          <w:rFonts w:cs="Arial"/>
        </w:rPr>
        <w:t xml:space="preserve"> help facilitate resolutions</w:t>
      </w:r>
      <w:r w:rsidR="001B0419">
        <w:rPr>
          <w:rFonts w:cs="Arial"/>
        </w:rPr>
        <w:t xml:space="preserve"> where practical</w:t>
      </w:r>
      <w:r w:rsidR="005874E7" w:rsidRPr="00F47E6D">
        <w:rPr>
          <w:rFonts w:cs="Arial"/>
        </w:rPr>
        <w:t>.</w:t>
      </w:r>
      <w:r w:rsidR="005874E7">
        <w:rPr>
          <w:rFonts w:cs="Arial"/>
        </w:rPr>
        <w:t xml:space="preserve"> Information relating to our complaint handling activities are detailed in this report.</w:t>
      </w:r>
    </w:p>
    <w:p w14:paraId="291BC979" w14:textId="120C53B9" w:rsidR="006B02BB" w:rsidRDefault="005874E7" w:rsidP="005874E7">
      <w:pPr>
        <w:rPr>
          <w:rFonts w:cs="Arial"/>
        </w:rPr>
      </w:pPr>
      <w:r>
        <w:rPr>
          <w:rFonts w:cs="Arial"/>
        </w:rPr>
        <w:t>T</w:t>
      </w:r>
      <w:r w:rsidRPr="00F47E6D">
        <w:rPr>
          <w:rFonts w:cs="Arial"/>
        </w:rPr>
        <w:t xml:space="preserve">he </w:t>
      </w:r>
      <w:r w:rsidRPr="00E14A34">
        <w:rPr>
          <w:rFonts w:cs="Arial"/>
        </w:rPr>
        <w:t>Office</w:t>
      </w:r>
      <w:r>
        <w:rPr>
          <w:rFonts w:cs="Arial"/>
        </w:rPr>
        <w:t xml:space="preserve"> also</w:t>
      </w:r>
      <w:r w:rsidRPr="00E14A34">
        <w:rPr>
          <w:rFonts w:cs="Arial"/>
        </w:rPr>
        <w:t xml:space="preserve"> identifies opportunities for improvement in the wind energy sector and actively promotes</w:t>
      </w:r>
      <w:r>
        <w:rPr>
          <w:rFonts w:cs="Arial"/>
        </w:rPr>
        <w:t xml:space="preserve"> the adoption of best practices </w:t>
      </w:r>
      <w:r w:rsidR="007E2B56">
        <w:rPr>
          <w:rFonts w:cs="Arial"/>
        </w:rPr>
        <w:t xml:space="preserve">through engagement </w:t>
      </w:r>
      <w:r w:rsidRPr="00E14A34">
        <w:rPr>
          <w:rFonts w:cs="Arial"/>
        </w:rPr>
        <w:t>with relevant stakeholders</w:t>
      </w:r>
      <w:r>
        <w:rPr>
          <w:rFonts w:cs="Arial"/>
        </w:rPr>
        <w:t>, external presentations and information provided on our website</w:t>
      </w:r>
      <w:r w:rsidR="004801EC">
        <w:rPr>
          <w:rFonts w:cs="Arial"/>
        </w:rPr>
        <w:t>.</w:t>
      </w:r>
    </w:p>
    <w:p w14:paraId="6240FC7E" w14:textId="4A639D50" w:rsidR="004801EC" w:rsidRDefault="007C4C58" w:rsidP="005874E7">
      <w:pPr>
        <w:rPr>
          <w:rFonts w:cs="Arial"/>
        </w:rPr>
      </w:pPr>
      <w:r>
        <w:rPr>
          <w:rFonts w:cs="Arial"/>
        </w:rPr>
        <w:t>The</w:t>
      </w:r>
      <w:r w:rsidR="004801EC">
        <w:rPr>
          <w:rFonts w:cs="Arial"/>
        </w:rPr>
        <w:t xml:space="preserve"> </w:t>
      </w:r>
      <w:r w:rsidR="005874E7">
        <w:rPr>
          <w:rFonts w:cs="Arial"/>
        </w:rPr>
        <w:t xml:space="preserve">Office </w:t>
      </w:r>
      <w:r w:rsidR="004801EC">
        <w:rPr>
          <w:rFonts w:cs="Arial"/>
        </w:rPr>
        <w:t>also continues to</w:t>
      </w:r>
      <w:r w:rsidR="005874E7">
        <w:rPr>
          <w:rFonts w:cs="Arial"/>
        </w:rPr>
        <w:t xml:space="preserve"> improve information transparency</w:t>
      </w:r>
      <w:r w:rsidR="00C45C9C">
        <w:rPr>
          <w:rFonts w:cs="Arial"/>
        </w:rPr>
        <w:t xml:space="preserve"> and accessibility</w:t>
      </w:r>
      <w:r w:rsidR="005874E7">
        <w:rPr>
          <w:rFonts w:cs="Arial"/>
        </w:rPr>
        <w:t xml:space="preserve"> </w:t>
      </w:r>
      <w:r w:rsidR="00C45C9C">
        <w:rPr>
          <w:rFonts w:cs="Arial"/>
        </w:rPr>
        <w:t>in relation to</w:t>
      </w:r>
      <w:r w:rsidR="006B02BB">
        <w:rPr>
          <w:rFonts w:cs="Arial"/>
        </w:rPr>
        <w:t xml:space="preserve"> the wind industry</w:t>
      </w:r>
      <w:r w:rsidR="005874E7">
        <w:rPr>
          <w:rFonts w:cs="Arial"/>
        </w:rPr>
        <w:t xml:space="preserve"> </w:t>
      </w:r>
      <w:r w:rsidR="00E5005D">
        <w:rPr>
          <w:rFonts w:cs="Arial"/>
        </w:rPr>
        <w:t>by providing independent</w:t>
      </w:r>
      <w:r w:rsidR="004801EC">
        <w:rPr>
          <w:rFonts w:cs="Arial"/>
        </w:rPr>
        <w:t xml:space="preserve"> information and resources on our website</w:t>
      </w:r>
      <w:r w:rsidR="001B0419">
        <w:rPr>
          <w:rFonts w:cs="Arial"/>
        </w:rPr>
        <w:t xml:space="preserve"> as well as encouraging improved transparency of relevant information by industry and government</w:t>
      </w:r>
      <w:r w:rsidR="004801EC">
        <w:rPr>
          <w:rFonts w:cs="Arial"/>
        </w:rPr>
        <w:t>.</w:t>
      </w:r>
    </w:p>
    <w:p w14:paraId="555D490C" w14:textId="77777777" w:rsidR="005874E7" w:rsidRPr="00F47E6D" w:rsidRDefault="005874E7" w:rsidP="005874E7">
      <w:pPr>
        <w:pStyle w:val="Heading2"/>
      </w:pPr>
      <w:bookmarkStart w:id="8" w:name="_Toc511140602"/>
      <w:r w:rsidRPr="00F47E6D">
        <w:t>Who We Are</w:t>
      </w:r>
      <w:bookmarkEnd w:id="8"/>
    </w:p>
    <w:p w14:paraId="76C83B28" w14:textId="3FB88016" w:rsidR="005874E7" w:rsidRPr="00F47E6D" w:rsidRDefault="005874E7" w:rsidP="005874E7">
      <w:pPr>
        <w:rPr>
          <w:rFonts w:cs="Arial"/>
        </w:rPr>
      </w:pPr>
      <w:r w:rsidRPr="00F47E6D">
        <w:rPr>
          <w:rFonts w:cs="Arial"/>
        </w:rPr>
        <w:t xml:space="preserve">The Commissioner is </w:t>
      </w:r>
      <w:r>
        <w:rPr>
          <w:rFonts w:cs="Arial"/>
        </w:rPr>
        <w:t xml:space="preserve">supported by a small team provided by the Department of the Environment </w:t>
      </w:r>
      <w:r w:rsidR="00007830">
        <w:rPr>
          <w:rFonts w:cs="Arial"/>
        </w:rPr>
        <w:t xml:space="preserve">and </w:t>
      </w:r>
      <w:r>
        <w:rPr>
          <w:rFonts w:cs="Arial"/>
        </w:rPr>
        <w:t xml:space="preserve">Energy which </w:t>
      </w:r>
      <w:r w:rsidRPr="00F47E6D">
        <w:rPr>
          <w:rFonts w:cs="Arial"/>
        </w:rPr>
        <w:t>comprise</w:t>
      </w:r>
      <w:r>
        <w:rPr>
          <w:rFonts w:cs="Arial"/>
        </w:rPr>
        <w:t>s</w:t>
      </w:r>
      <w:r w:rsidR="00581966">
        <w:rPr>
          <w:rFonts w:cs="Arial"/>
        </w:rPr>
        <w:t xml:space="preserve"> </w:t>
      </w:r>
      <w:r w:rsidR="00581966" w:rsidRPr="00F47E6D">
        <w:rPr>
          <w:rFonts w:cs="Arial"/>
        </w:rPr>
        <w:t xml:space="preserve">an </w:t>
      </w:r>
      <w:r w:rsidR="00581966">
        <w:rPr>
          <w:rFonts w:cs="Arial"/>
        </w:rPr>
        <w:t>Executive Officer</w:t>
      </w:r>
      <w:r w:rsidRPr="00F47E6D">
        <w:rPr>
          <w:rFonts w:cs="Arial"/>
        </w:rPr>
        <w:t xml:space="preserve">, a </w:t>
      </w:r>
      <w:r>
        <w:rPr>
          <w:rFonts w:cs="Arial"/>
        </w:rPr>
        <w:t xml:space="preserve">part-time </w:t>
      </w:r>
      <w:r w:rsidRPr="00F47E6D">
        <w:rPr>
          <w:rFonts w:cs="Arial"/>
        </w:rPr>
        <w:t>Complaints Manager and</w:t>
      </w:r>
      <w:r w:rsidR="00581966">
        <w:rPr>
          <w:rFonts w:cs="Arial"/>
        </w:rPr>
        <w:t xml:space="preserve"> an </w:t>
      </w:r>
      <w:r w:rsidR="001B0419">
        <w:rPr>
          <w:rFonts w:cs="Arial"/>
        </w:rPr>
        <w:t>Administrative</w:t>
      </w:r>
      <w:r w:rsidR="00581966">
        <w:rPr>
          <w:rFonts w:cs="Arial"/>
        </w:rPr>
        <w:t xml:space="preserve"> Assistant</w:t>
      </w:r>
      <w:r w:rsidRPr="00F47E6D">
        <w:rPr>
          <w:rFonts w:cs="Arial"/>
        </w:rPr>
        <w:t>.</w:t>
      </w:r>
    </w:p>
    <w:p w14:paraId="7A9259A6" w14:textId="77777777" w:rsidR="005874E7" w:rsidRPr="00F47E6D" w:rsidRDefault="005874E7" w:rsidP="005874E7">
      <w:pPr>
        <w:pStyle w:val="Heading2"/>
      </w:pPr>
      <w:bookmarkStart w:id="9" w:name="_Toc511140603"/>
      <w:r w:rsidRPr="00F47E6D">
        <w:t>Office Location</w:t>
      </w:r>
      <w:bookmarkEnd w:id="9"/>
    </w:p>
    <w:p w14:paraId="5B8639B4" w14:textId="2DF5BE73" w:rsidR="005874E7" w:rsidRPr="00F47E6D" w:rsidRDefault="005874E7" w:rsidP="005874E7">
      <w:pPr>
        <w:rPr>
          <w:rFonts w:cs="Arial"/>
          <w:b/>
        </w:rPr>
      </w:pPr>
      <w:r w:rsidRPr="00F47E6D">
        <w:rPr>
          <w:rFonts w:cs="Arial"/>
        </w:rPr>
        <w:t xml:space="preserve">The Office of </w:t>
      </w:r>
      <w:r>
        <w:rPr>
          <w:rFonts w:cs="Arial"/>
        </w:rPr>
        <w:t xml:space="preserve">the </w:t>
      </w:r>
      <w:r w:rsidRPr="00F47E6D">
        <w:rPr>
          <w:rFonts w:cs="Arial"/>
        </w:rPr>
        <w:t xml:space="preserve">National Wind Farm Commissioner is located </w:t>
      </w:r>
      <w:r>
        <w:rPr>
          <w:rFonts w:cs="Arial"/>
        </w:rPr>
        <w:t xml:space="preserve">in </w:t>
      </w:r>
      <w:r w:rsidR="00007830">
        <w:rPr>
          <w:rFonts w:cs="Arial"/>
        </w:rPr>
        <w:t xml:space="preserve">the </w:t>
      </w:r>
      <w:r w:rsidRPr="00F47E6D">
        <w:rPr>
          <w:rFonts w:cs="Arial"/>
        </w:rPr>
        <w:t>Melbourne</w:t>
      </w:r>
      <w:r>
        <w:rPr>
          <w:rFonts w:cs="Arial"/>
        </w:rPr>
        <w:t xml:space="preserve"> </w:t>
      </w:r>
      <w:r w:rsidR="007E2B56">
        <w:rPr>
          <w:rFonts w:cs="Arial"/>
        </w:rPr>
        <w:t>central business district</w:t>
      </w:r>
      <w:r>
        <w:rPr>
          <w:rFonts w:cs="Arial"/>
        </w:rPr>
        <w:t xml:space="preserve">. The Office can be contacted by toll-free telephone </w:t>
      </w:r>
      <w:r w:rsidR="007E2B56">
        <w:rPr>
          <w:rFonts w:cs="Arial"/>
        </w:rPr>
        <w:t xml:space="preserve">on </w:t>
      </w:r>
      <w:r>
        <w:rPr>
          <w:rFonts w:cs="Arial"/>
        </w:rPr>
        <w:t xml:space="preserve">1800 656 395, email </w:t>
      </w:r>
      <w:hyperlink r:id="rId26" w:history="1">
        <w:r w:rsidRPr="00A218BB">
          <w:rPr>
            <w:rStyle w:val="Hyperlink"/>
            <w:rFonts w:cs="Arial"/>
          </w:rPr>
          <w:t>nwfc@environment.gov.au</w:t>
        </w:r>
      </w:hyperlink>
      <w:r>
        <w:rPr>
          <w:rFonts w:cs="Arial"/>
        </w:rPr>
        <w:t xml:space="preserve"> or </w:t>
      </w:r>
      <w:r w:rsidR="007E2B56">
        <w:rPr>
          <w:rFonts w:cs="Arial"/>
        </w:rPr>
        <w:t xml:space="preserve">by </w:t>
      </w:r>
      <w:r>
        <w:rPr>
          <w:rFonts w:cs="Arial"/>
        </w:rPr>
        <w:t xml:space="preserve">post at PO Box 24434 Melbourne </w:t>
      </w:r>
      <w:r w:rsidR="00007830">
        <w:rPr>
          <w:rFonts w:cs="Arial"/>
        </w:rPr>
        <w:t xml:space="preserve">Victoria </w:t>
      </w:r>
      <w:r>
        <w:rPr>
          <w:rFonts w:cs="Arial"/>
        </w:rPr>
        <w:t xml:space="preserve">3001. The Office regularly conducts meetings with community members and other stakeholders at these premises. Appointments can be made by contacting the Office.     </w:t>
      </w:r>
      <w:r w:rsidRPr="00F47E6D">
        <w:rPr>
          <w:rFonts w:cs="Arial"/>
        </w:rPr>
        <w:t xml:space="preserve"> </w:t>
      </w:r>
    </w:p>
    <w:p w14:paraId="476086BB" w14:textId="77777777" w:rsidR="005874E7" w:rsidRDefault="005874E7" w:rsidP="005874E7">
      <w:pPr>
        <w:rPr>
          <w:rFonts w:ascii="Calibri Light" w:hAnsi="Calibri Light"/>
          <w:b/>
        </w:rPr>
        <w:sectPr w:rsidR="005874E7" w:rsidSect="00C90C75">
          <w:headerReference w:type="even" r:id="rId27"/>
          <w:headerReference w:type="default" r:id="rId28"/>
          <w:headerReference w:type="first" r:id="rId29"/>
          <w:pgSz w:w="11906" w:h="16838" w:code="9"/>
          <w:pgMar w:top="720" w:right="720" w:bottom="720" w:left="720" w:header="425" w:footer="425" w:gutter="0"/>
          <w:cols w:space="708"/>
          <w:docGrid w:linePitch="360"/>
        </w:sectPr>
      </w:pPr>
    </w:p>
    <w:p w14:paraId="5D1D93B1" w14:textId="77777777" w:rsidR="005874E7" w:rsidRDefault="005874E7" w:rsidP="005874E7">
      <w:pPr>
        <w:pStyle w:val="Heading1"/>
      </w:pPr>
      <w:bookmarkStart w:id="10" w:name="_Toc511140604"/>
      <w:r>
        <w:lastRenderedPageBreak/>
        <w:t>Complaint</w:t>
      </w:r>
      <w:r w:rsidRPr="00F47E6D">
        <w:t xml:space="preserve"> Management</w:t>
      </w:r>
      <w:bookmarkEnd w:id="10"/>
    </w:p>
    <w:p w14:paraId="52B7CC62" w14:textId="46217F45" w:rsidR="005874E7" w:rsidRDefault="005874E7" w:rsidP="005874E7">
      <w:pPr>
        <w:pStyle w:val="Heading2"/>
      </w:pPr>
      <w:bookmarkStart w:id="11" w:name="_Toc511140605"/>
      <w:r>
        <w:t xml:space="preserve">Complaint Management </w:t>
      </w:r>
      <w:r w:rsidR="008F63B1">
        <w:t>Process</w:t>
      </w:r>
      <w:bookmarkEnd w:id="11"/>
    </w:p>
    <w:p w14:paraId="5A983423" w14:textId="7BADA141" w:rsidR="008F0093" w:rsidRDefault="005874E7" w:rsidP="005874E7">
      <w:pPr>
        <w:rPr>
          <w:rFonts w:cs="Arial"/>
        </w:rPr>
      </w:pPr>
      <w:r>
        <w:rPr>
          <w:rFonts w:cs="Arial"/>
        </w:rPr>
        <w:t xml:space="preserve">A primary function of the </w:t>
      </w:r>
      <w:r w:rsidR="00D17D60">
        <w:rPr>
          <w:rFonts w:cs="Arial"/>
        </w:rPr>
        <w:t>Commissioner’s role</w:t>
      </w:r>
      <w:r>
        <w:rPr>
          <w:rFonts w:cs="Arial"/>
        </w:rPr>
        <w:t xml:space="preserve"> is to </w:t>
      </w:r>
      <w:r w:rsidRPr="00F47E6D">
        <w:rPr>
          <w:rFonts w:cs="Arial"/>
        </w:rPr>
        <w:t xml:space="preserve">receive and refer complaints to </w:t>
      </w:r>
      <w:r w:rsidR="00FB0391">
        <w:rPr>
          <w:rFonts w:cs="Arial"/>
        </w:rPr>
        <w:t xml:space="preserve">the </w:t>
      </w:r>
      <w:r w:rsidRPr="00F47E6D">
        <w:rPr>
          <w:rFonts w:cs="Arial"/>
        </w:rPr>
        <w:t xml:space="preserve">relevant </w:t>
      </w:r>
      <w:r w:rsidR="00FB0391">
        <w:rPr>
          <w:rFonts w:cs="Arial"/>
        </w:rPr>
        <w:t>respondent</w:t>
      </w:r>
      <w:r w:rsidR="00D17D60">
        <w:rPr>
          <w:rFonts w:cs="Arial"/>
        </w:rPr>
        <w:t xml:space="preserve">. </w:t>
      </w:r>
      <w:r w:rsidR="008F63B1" w:rsidRPr="00B84E66">
        <w:rPr>
          <w:rFonts w:cs="Arial"/>
        </w:rPr>
        <w:t xml:space="preserve">As many of </w:t>
      </w:r>
      <w:r w:rsidR="00FB0391">
        <w:rPr>
          <w:rFonts w:cs="Arial"/>
        </w:rPr>
        <w:t xml:space="preserve">the </w:t>
      </w:r>
      <w:r w:rsidR="008F63B1" w:rsidRPr="00B84E66">
        <w:rPr>
          <w:rFonts w:cs="Arial"/>
        </w:rPr>
        <w:t xml:space="preserve">complaints </w:t>
      </w:r>
      <w:r w:rsidR="00FB0391">
        <w:rPr>
          <w:rFonts w:cs="Arial"/>
        </w:rPr>
        <w:t xml:space="preserve">received </w:t>
      </w:r>
      <w:r w:rsidR="008F63B1" w:rsidRPr="00B84E66">
        <w:rPr>
          <w:rFonts w:cs="Arial"/>
        </w:rPr>
        <w:t xml:space="preserve">are complex and </w:t>
      </w:r>
      <w:r w:rsidR="00B84E66" w:rsidRPr="00B84E66">
        <w:rPr>
          <w:rFonts w:cs="Arial"/>
        </w:rPr>
        <w:t xml:space="preserve">can </w:t>
      </w:r>
      <w:r w:rsidR="00FB0391">
        <w:rPr>
          <w:rFonts w:cs="Arial"/>
        </w:rPr>
        <w:t>take time to research and resolve,</w:t>
      </w:r>
      <w:r w:rsidR="008F63B1">
        <w:rPr>
          <w:rFonts w:cs="Arial"/>
        </w:rPr>
        <w:t xml:space="preserve"> o</w:t>
      </w:r>
      <w:r w:rsidR="00D17D60">
        <w:rPr>
          <w:rFonts w:cs="Arial"/>
        </w:rPr>
        <w:t xml:space="preserve">ur Office’s </w:t>
      </w:r>
      <w:r w:rsidR="00FB0391">
        <w:rPr>
          <w:rFonts w:cs="Arial"/>
        </w:rPr>
        <w:t>c</w:t>
      </w:r>
      <w:r w:rsidR="00D17D60">
        <w:rPr>
          <w:rFonts w:cs="Arial"/>
        </w:rPr>
        <w:t xml:space="preserve">omplaint </w:t>
      </w:r>
      <w:r w:rsidR="00FB0391">
        <w:rPr>
          <w:rFonts w:cs="Arial"/>
        </w:rPr>
        <w:t>m</w:t>
      </w:r>
      <w:r w:rsidR="00D17D60">
        <w:rPr>
          <w:rFonts w:cs="Arial"/>
        </w:rPr>
        <w:t xml:space="preserve">anagement </w:t>
      </w:r>
      <w:r w:rsidR="00FB0391">
        <w:rPr>
          <w:rFonts w:cs="Arial"/>
        </w:rPr>
        <w:t>p</w:t>
      </w:r>
      <w:r w:rsidR="008F63B1">
        <w:rPr>
          <w:rFonts w:cs="Arial"/>
        </w:rPr>
        <w:t>rocess</w:t>
      </w:r>
      <w:r w:rsidR="00D17D60">
        <w:rPr>
          <w:rFonts w:cs="Arial"/>
        </w:rPr>
        <w:t xml:space="preserve"> has been designed to</w:t>
      </w:r>
      <w:r w:rsidRPr="00F47E6D">
        <w:rPr>
          <w:rFonts w:cs="Arial"/>
        </w:rPr>
        <w:t xml:space="preserve"> </w:t>
      </w:r>
      <w:r w:rsidR="00370CD6">
        <w:rPr>
          <w:rFonts w:cs="Arial"/>
        </w:rPr>
        <w:t xml:space="preserve">help </w:t>
      </w:r>
      <w:r w:rsidRPr="00F47E6D">
        <w:rPr>
          <w:rFonts w:cs="Arial"/>
        </w:rPr>
        <w:t xml:space="preserve">ensure that </w:t>
      </w:r>
      <w:r w:rsidR="00370CD6" w:rsidRPr="0044051C">
        <w:rPr>
          <w:rFonts w:cs="Arial"/>
        </w:rPr>
        <w:t xml:space="preserve">the Office continues to function effectively </w:t>
      </w:r>
      <w:r w:rsidR="00370CD6">
        <w:rPr>
          <w:rFonts w:cs="Arial"/>
        </w:rPr>
        <w:t xml:space="preserve">and </w:t>
      </w:r>
      <w:r>
        <w:rPr>
          <w:rFonts w:cs="Arial"/>
        </w:rPr>
        <w:t>each</w:t>
      </w:r>
      <w:r w:rsidRPr="00F47E6D">
        <w:rPr>
          <w:rFonts w:cs="Arial"/>
        </w:rPr>
        <w:t xml:space="preserve"> com</w:t>
      </w:r>
      <w:r>
        <w:rPr>
          <w:rFonts w:cs="Arial"/>
        </w:rPr>
        <w:t>plaint</w:t>
      </w:r>
      <w:r w:rsidR="00370CD6">
        <w:rPr>
          <w:rFonts w:cs="Arial"/>
        </w:rPr>
        <w:t xml:space="preserve"> received</w:t>
      </w:r>
      <w:r>
        <w:rPr>
          <w:rFonts w:cs="Arial"/>
        </w:rPr>
        <w:t xml:space="preserve"> is </w:t>
      </w:r>
      <w:r w:rsidR="00370CD6">
        <w:rPr>
          <w:rFonts w:cs="Arial"/>
        </w:rPr>
        <w:t>recorded and managed appropriately</w:t>
      </w:r>
      <w:r w:rsidR="008F0093">
        <w:rPr>
          <w:rFonts w:cs="Arial"/>
        </w:rPr>
        <w:t>.</w:t>
      </w:r>
    </w:p>
    <w:p w14:paraId="133873D4" w14:textId="622A076C" w:rsidR="00370CD6" w:rsidRDefault="00370CD6" w:rsidP="005874E7">
      <w:pPr>
        <w:rPr>
          <w:rFonts w:cs="Arial"/>
        </w:rPr>
      </w:pPr>
      <w:r>
        <w:rPr>
          <w:rFonts w:cs="Arial"/>
        </w:rPr>
        <w:t>It should also be noted that o</w:t>
      </w:r>
      <w:r w:rsidR="008F0093">
        <w:rPr>
          <w:rFonts w:cs="Arial"/>
        </w:rPr>
        <w:t xml:space="preserve">ur system and procedures treat a complaint from a residence as </w:t>
      </w:r>
      <w:r w:rsidR="00D562D9" w:rsidRPr="00B85A19">
        <w:rPr>
          <w:rFonts w:cs="Arial"/>
          <w:b/>
          <w:i/>
        </w:rPr>
        <w:t>one</w:t>
      </w:r>
      <w:r w:rsidR="008F0093" w:rsidRPr="00B85A19">
        <w:rPr>
          <w:rFonts w:cs="Arial"/>
          <w:b/>
          <w:i/>
        </w:rPr>
        <w:t xml:space="preserve"> </w:t>
      </w:r>
      <w:r w:rsidR="008F0093">
        <w:rPr>
          <w:rFonts w:cs="Arial"/>
        </w:rPr>
        <w:t>complaint</w:t>
      </w:r>
      <w:r w:rsidR="00D562D9">
        <w:rPr>
          <w:rFonts w:cs="Arial"/>
        </w:rPr>
        <w:t xml:space="preserve">. </w:t>
      </w:r>
      <w:r w:rsidR="008F0093">
        <w:rPr>
          <w:rFonts w:cs="Arial"/>
        </w:rPr>
        <w:t xml:space="preserve">The complaint may contain a number of issues and </w:t>
      </w:r>
      <w:r w:rsidR="003C06D4">
        <w:rPr>
          <w:rFonts w:cs="Arial"/>
        </w:rPr>
        <w:t xml:space="preserve">may involve </w:t>
      </w:r>
      <w:r w:rsidR="008F63B1">
        <w:rPr>
          <w:rFonts w:cs="Arial"/>
        </w:rPr>
        <w:t>a large volume of correspondence</w:t>
      </w:r>
      <w:r w:rsidR="008F0093">
        <w:rPr>
          <w:rFonts w:cs="Arial"/>
        </w:rPr>
        <w:t xml:space="preserve"> </w:t>
      </w:r>
      <w:r w:rsidR="00B85A19">
        <w:rPr>
          <w:rFonts w:cs="Arial"/>
        </w:rPr>
        <w:t>with</w:t>
      </w:r>
      <w:r w:rsidR="008F0093">
        <w:rPr>
          <w:rFonts w:cs="Arial"/>
        </w:rPr>
        <w:t xml:space="preserve"> our Office</w:t>
      </w:r>
      <w:r w:rsidR="00B84E66">
        <w:rPr>
          <w:rFonts w:cs="Arial"/>
        </w:rPr>
        <w:t xml:space="preserve"> over long periods of time</w:t>
      </w:r>
      <w:r w:rsidR="008F0093">
        <w:rPr>
          <w:rFonts w:cs="Arial"/>
        </w:rPr>
        <w:t>. O</w:t>
      </w:r>
      <w:r w:rsidR="00D562D9">
        <w:rPr>
          <w:rFonts w:cs="Arial"/>
        </w:rPr>
        <w:t xml:space="preserve">ur Office will record ongoing correspondence </w:t>
      </w:r>
      <w:r w:rsidR="00B85A19">
        <w:rPr>
          <w:rFonts w:cs="Arial"/>
        </w:rPr>
        <w:t>in the complainant’s file</w:t>
      </w:r>
      <w:r w:rsidR="00A7111A">
        <w:rPr>
          <w:rFonts w:cs="Arial"/>
        </w:rPr>
        <w:t xml:space="preserve"> as further information about that complaint</w:t>
      </w:r>
      <w:r w:rsidR="008F63B1">
        <w:rPr>
          <w:rFonts w:cs="Arial"/>
        </w:rPr>
        <w:t xml:space="preserve">. </w:t>
      </w:r>
      <w:r w:rsidR="007C769E" w:rsidRPr="00B84E66">
        <w:rPr>
          <w:rFonts w:cs="Arial"/>
        </w:rPr>
        <w:t xml:space="preserve">If </w:t>
      </w:r>
      <w:r w:rsidR="00D562D9" w:rsidRPr="00B84E66">
        <w:rPr>
          <w:rFonts w:cs="Arial"/>
        </w:rPr>
        <w:t xml:space="preserve">the complainant </w:t>
      </w:r>
      <w:r w:rsidR="007C769E" w:rsidRPr="00B84E66">
        <w:rPr>
          <w:rFonts w:cs="Arial"/>
        </w:rPr>
        <w:t>lodges</w:t>
      </w:r>
      <w:r w:rsidR="008F0093" w:rsidRPr="00B84E66">
        <w:rPr>
          <w:rFonts w:cs="Arial"/>
        </w:rPr>
        <w:t xml:space="preserve"> a complaint about a s</w:t>
      </w:r>
      <w:r w:rsidR="00D562D9" w:rsidRPr="00B84E66">
        <w:rPr>
          <w:rFonts w:cs="Arial"/>
        </w:rPr>
        <w:t xml:space="preserve">ubstantive new issue or a </w:t>
      </w:r>
      <w:r w:rsidR="008F0093" w:rsidRPr="00B84E66">
        <w:rPr>
          <w:rFonts w:cs="Arial"/>
        </w:rPr>
        <w:t xml:space="preserve">different </w:t>
      </w:r>
      <w:r w:rsidR="00D562D9" w:rsidRPr="00B84E66">
        <w:rPr>
          <w:rFonts w:cs="Arial"/>
        </w:rPr>
        <w:t>wind farm facility</w:t>
      </w:r>
      <w:r w:rsidR="007C769E" w:rsidRPr="00B84E66">
        <w:rPr>
          <w:rFonts w:cs="Arial"/>
        </w:rPr>
        <w:t>, a new complaint may be established and recorded by our Office</w:t>
      </w:r>
      <w:r w:rsidR="007C769E">
        <w:rPr>
          <w:rFonts w:cs="Arial"/>
        </w:rPr>
        <w:t>.</w:t>
      </w:r>
    </w:p>
    <w:p w14:paraId="6542707C" w14:textId="77777777" w:rsidR="005874E7" w:rsidRDefault="005874E7" w:rsidP="005874E7">
      <w:pPr>
        <w:pStyle w:val="Heading2"/>
        <w:rPr>
          <w:lang w:eastAsia="en-AU"/>
        </w:rPr>
      </w:pPr>
      <w:bookmarkStart w:id="12" w:name="_Toc511140606"/>
      <w:r>
        <w:rPr>
          <w:lang w:eastAsia="en-AU"/>
        </w:rPr>
        <w:t>Complaints Handling Policy</w:t>
      </w:r>
      <w:bookmarkEnd w:id="12"/>
    </w:p>
    <w:p w14:paraId="40E22D92" w14:textId="7B0655FC" w:rsidR="005874E7" w:rsidRDefault="007E5AFC" w:rsidP="005874E7">
      <w:pPr>
        <w:rPr>
          <w:lang w:eastAsia="en-AU"/>
        </w:rPr>
      </w:pPr>
      <w:r>
        <w:rPr>
          <w:rFonts w:cs="Arial"/>
        </w:rPr>
        <w:t xml:space="preserve">The Office’s </w:t>
      </w:r>
      <w:r w:rsidR="005874E7" w:rsidRPr="00F47E6D">
        <w:rPr>
          <w:rFonts w:cs="Arial"/>
        </w:rPr>
        <w:t>Complaint</w:t>
      </w:r>
      <w:r w:rsidR="005874E7">
        <w:rPr>
          <w:rFonts w:cs="Arial"/>
        </w:rPr>
        <w:t>s</w:t>
      </w:r>
      <w:r w:rsidR="005874E7" w:rsidRPr="00F47E6D">
        <w:rPr>
          <w:rFonts w:cs="Arial"/>
        </w:rPr>
        <w:t xml:space="preserve"> Handling Policy</w:t>
      </w:r>
      <w:r w:rsidR="005874E7">
        <w:rPr>
          <w:rFonts w:cs="Arial"/>
        </w:rPr>
        <w:t xml:space="preserve"> </w:t>
      </w:r>
      <w:r>
        <w:rPr>
          <w:rFonts w:cs="Arial"/>
        </w:rPr>
        <w:t>and associat</w:t>
      </w:r>
      <w:r w:rsidR="0046359B">
        <w:rPr>
          <w:rFonts w:cs="Arial"/>
        </w:rPr>
        <w:t xml:space="preserve">ed Information Handling Policy </w:t>
      </w:r>
      <w:r w:rsidR="0032384D">
        <w:rPr>
          <w:rFonts w:cs="Arial"/>
        </w:rPr>
        <w:t>are</w:t>
      </w:r>
      <w:r>
        <w:rPr>
          <w:rFonts w:cs="Arial"/>
        </w:rPr>
        <w:t xml:space="preserve"> available on our website and</w:t>
      </w:r>
      <w:r w:rsidR="00A7111A">
        <w:rPr>
          <w:rFonts w:cs="Arial"/>
        </w:rPr>
        <w:t xml:space="preserve"> provided</w:t>
      </w:r>
      <w:r>
        <w:rPr>
          <w:rFonts w:cs="Arial"/>
        </w:rPr>
        <w:t xml:space="preserve"> in </w:t>
      </w:r>
      <w:r w:rsidR="005874E7" w:rsidRPr="007E5AFC">
        <w:rPr>
          <w:rFonts w:cs="Arial"/>
          <w:u w:val="single"/>
        </w:rPr>
        <w:t>Appendix B</w:t>
      </w:r>
      <w:r>
        <w:rPr>
          <w:rFonts w:cs="Arial"/>
        </w:rPr>
        <w:t xml:space="preserve"> </w:t>
      </w:r>
      <w:r w:rsidR="0046359B">
        <w:rPr>
          <w:rFonts w:cs="Arial"/>
        </w:rPr>
        <w:t xml:space="preserve">and </w:t>
      </w:r>
      <w:r w:rsidR="0046359B" w:rsidRPr="0046359B">
        <w:rPr>
          <w:rFonts w:cs="Arial"/>
          <w:u w:val="single"/>
        </w:rPr>
        <w:t>Appendix C</w:t>
      </w:r>
      <w:r w:rsidR="0046359B">
        <w:rPr>
          <w:rFonts w:cs="Arial"/>
        </w:rPr>
        <w:t xml:space="preserve"> </w:t>
      </w:r>
      <w:r>
        <w:rPr>
          <w:rFonts w:cs="Arial"/>
        </w:rPr>
        <w:t>of this report</w:t>
      </w:r>
      <w:r w:rsidR="005874E7" w:rsidRPr="00F47E6D">
        <w:rPr>
          <w:rFonts w:cs="Arial"/>
        </w:rPr>
        <w:t>.</w:t>
      </w:r>
      <w:r w:rsidR="005874E7">
        <w:rPr>
          <w:rFonts w:cs="Arial"/>
        </w:rPr>
        <w:t xml:space="preserve"> </w:t>
      </w:r>
      <w:r w:rsidR="005874E7">
        <w:rPr>
          <w:lang w:eastAsia="en-AU"/>
        </w:rPr>
        <w:t>The core principles that guide the handling o</w:t>
      </w:r>
      <w:r w:rsidR="0046359B">
        <w:rPr>
          <w:lang w:eastAsia="en-AU"/>
        </w:rPr>
        <w:t>f complaints, as outlined in these policies</w:t>
      </w:r>
      <w:r w:rsidR="005874E7">
        <w:rPr>
          <w:lang w:eastAsia="en-AU"/>
        </w:rPr>
        <w:t>, state that:</w:t>
      </w:r>
    </w:p>
    <w:p w14:paraId="3FFB22CA" w14:textId="77777777" w:rsidR="005874E7" w:rsidRPr="003929F8" w:rsidRDefault="005874E7" w:rsidP="00D35B01">
      <w:pPr>
        <w:pStyle w:val="ListParagraph"/>
        <w:numPr>
          <w:ilvl w:val="0"/>
          <w:numId w:val="19"/>
        </w:numPr>
        <w:ind w:left="714" w:hanging="357"/>
        <w:rPr>
          <w:rFonts w:eastAsia="Times New Roman" w:cs="Arial"/>
        </w:rPr>
      </w:pPr>
      <w:r>
        <w:rPr>
          <w:rFonts w:eastAsia="Times New Roman" w:cs="Arial"/>
        </w:rPr>
        <w:t>the Office is</w:t>
      </w:r>
      <w:r w:rsidRPr="003929F8">
        <w:rPr>
          <w:rFonts w:eastAsia="Times New Roman" w:cs="Arial"/>
        </w:rPr>
        <w:t xml:space="preserve"> independent</w:t>
      </w:r>
    </w:p>
    <w:p w14:paraId="207276AD" w14:textId="77777777" w:rsidR="005874E7" w:rsidRPr="003929F8" w:rsidRDefault="005874E7" w:rsidP="00D35B01">
      <w:pPr>
        <w:pStyle w:val="ListParagraph"/>
        <w:numPr>
          <w:ilvl w:val="0"/>
          <w:numId w:val="19"/>
        </w:numPr>
        <w:ind w:left="714" w:hanging="357"/>
        <w:rPr>
          <w:rFonts w:eastAsia="Times New Roman" w:cs="Arial"/>
        </w:rPr>
      </w:pPr>
      <w:r>
        <w:rPr>
          <w:rFonts w:eastAsia="Times New Roman" w:cs="Arial"/>
        </w:rPr>
        <w:t>the Office</w:t>
      </w:r>
      <w:r w:rsidRPr="003929F8">
        <w:rPr>
          <w:rFonts w:eastAsia="Times New Roman" w:cs="Arial"/>
        </w:rPr>
        <w:t xml:space="preserve"> </w:t>
      </w:r>
      <w:r>
        <w:rPr>
          <w:rFonts w:eastAsia="Times New Roman" w:cs="Arial"/>
        </w:rPr>
        <w:t xml:space="preserve">will use </w:t>
      </w:r>
      <w:r w:rsidRPr="003929F8">
        <w:rPr>
          <w:rFonts w:eastAsia="Times New Roman" w:cs="Arial"/>
        </w:rPr>
        <w:t>best efforts to assist the parties to find acceptable outcomes and r</w:t>
      </w:r>
      <w:r w:rsidRPr="00DC06A8">
        <w:rPr>
          <w:rFonts w:eastAsia="Times New Roman" w:cs="Arial"/>
        </w:rPr>
        <w:t>each agreement on a way forward</w:t>
      </w:r>
    </w:p>
    <w:p w14:paraId="623F95C6" w14:textId="77777777" w:rsidR="005874E7" w:rsidRPr="003929F8" w:rsidRDefault="005874E7" w:rsidP="00D35B01">
      <w:pPr>
        <w:pStyle w:val="ListParagraph"/>
        <w:numPr>
          <w:ilvl w:val="0"/>
          <w:numId w:val="19"/>
        </w:numPr>
        <w:ind w:left="714" w:hanging="357"/>
        <w:rPr>
          <w:rFonts w:eastAsia="Times New Roman" w:cs="Arial"/>
        </w:rPr>
      </w:pPr>
      <w:r>
        <w:rPr>
          <w:rFonts w:eastAsia="Times New Roman" w:cs="Arial"/>
        </w:rPr>
        <w:t xml:space="preserve">the Office </w:t>
      </w:r>
      <w:r w:rsidRPr="003929F8">
        <w:rPr>
          <w:rFonts w:eastAsia="Times New Roman" w:cs="Arial"/>
        </w:rPr>
        <w:t>will assist parties to share fact and evidence based information relevant to a complaint so that t</w:t>
      </w:r>
      <w:r w:rsidRPr="00DC06A8">
        <w:rPr>
          <w:rFonts w:eastAsia="Times New Roman" w:cs="Arial"/>
        </w:rPr>
        <w:t>hey can work towards an outcome</w:t>
      </w:r>
    </w:p>
    <w:p w14:paraId="3C61BF59" w14:textId="77777777" w:rsidR="005874E7" w:rsidRPr="003929F8" w:rsidRDefault="005874E7" w:rsidP="00D35B01">
      <w:pPr>
        <w:pStyle w:val="ListParagraph"/>
        <w:numPr>
          <w:ilvl w:val="0"/>
          <w:numId w:val="19"/>
        </w:numPr>
        <w:ind w:left="714" w:hanging="357"/>
        <w:rPr>
          <w:rFonts w:eastAsia="Times New Roman" w:cs="Arial"/>
        </w:rPr>
      </w:pPr>
      <w:r>
        <w:rPr>
          <w:rFonts w:eastAsia="Times New Roman" w:cs="Arial"/>
        </w:rPr>
        <w:t xml:space="preserve">the Office </w:t>
      </w:r>
      <w:r w:rsidRPr="003929F8">
        <w:rPr>
          <w:rFonts w:eastAsia="Times New Roman" w:cs="Arial"/>
        </w:rPr>
        <w:t xml:space="preserve">will always act </w:t>
      </w:r>
      <w:r w:rsidRPr="00DC06A8">
        <w:rPr>
          <w:rFonts w:eastAsia="Times New Roman" w:cs="Arial"/>
        </w:rPr>
        <w:t>impartially and ethically</w:t>
      </w:r>
    </w:p>
    <w:p w14:paraId="0CF67AD3" w14:textId="77777777" w:rsidR="005874E7" w:rsidRPr="003929F8" w:rsidRDefault="005874E7" w:rsidP="00D35B01">
      <w:pPr>
        <w:pStyle w:val="ListParagraph"/>
        <w:numPr>
          <w:ilvl w:val="0"/>
          <w:numId w:val="19"/>
        </w:numPr>
        <w:ind w:left="714" w:hanging="357"/>
        <w:rPr>
          <w:rFonts w:eastAsia="Times New Roman" w:cs="Arial"/>
        </w:rPr>
      </w:pPr>
      <w:r>
        <w:rPr>
          <w:rFonts w:eastAsia="Times New Roman" w:cs="Arial"/>
        </w:rPr>
        <w:t xml:space="preserve">the Office </w:t>
      </w:r>
      <w:r w:rsidRPr="003929F8">
        <w:rPr>
          <w:rFonts w:eastAsia="Times New Roman" w:cs="Arial"/>
        </w:rPr>
        <w:t xml:space="preserve">expect that the parties involved in a matter brought to the Commissioner will act with integrity and respect, and be genuinely seeking </w:t>
      </w:r>
      <w:r w:rsidRPr="00DC06A8">
        <w:rPr>
          <w:rFonts w:eastAsia="Times New Roman" w:cs="Arial"/>
        </w:rPr>
        <w:t>an outcome to the issues raised</w:t>
      </w:r>
    </w:p>
    <w:p w14:paraId="66D29AAF" w14:textId="231271FD" w:rsidR="005874E7" w:rsidRPr="003929F8" w:rsidRDefault="005874E7" w:rsidP="00D35B01">
      <w:pPr>
        <w:pStyle w:val="ListParagraph"/>
        <w:numPr>
          <w:ilvl w:val="0"/>
          <w:numId w:val="19"/>
        </w:numPr>
        <w:ind w:left="714" w:hanging="357"/>
        <w:rPr>
          <w:rFonts w:eastAsia="Times New Roman" w:cs="Arial"/>
        </w:rPr>
      </w:pPr>
      <w:r>
        <w:rPr>
          <w:rFonts w:eastAsia="Times New Roman" w:cs="Arial"/>
        </w:rPr>
        <w:t>t</w:t>
      </w:r>
      <w:r w:rsidRPr="003929F8">
        <w:rPr>
          <w:rFonts w:eastAsia="Times New Roman" w:cs="Arial"/>
        </w:rPr>
        <w:t xml:space="preserve">he Commissioner’s </w:t>
      </w:r>
      <w:r w:rsidR="005C662E">
        <w:rPr>
          <w:rFonts w:eastAsia="Times New Roman" w:cs="Arial"/>
        </w:rPr>
        <w:t xml:space="preserve">complaint handling </w:t>
      </w:r>
      <w:r w:rsidRPr="003929F8">
        <w:rPr>
          <w:rFonts w:eastAsia="Times New Roman" w:cs="Arial"/>
        </w:rPr>
        <w:t>proce</w:t>
      </w:r>
      <w:r w:rsidR="003D3FBE">
        <w:rPr>
          <w:rFonts w:eastAsia="Times New Roman" w:cs="Arial"/>
        </w:rPr>
        <w:t>dure</w:t>
      </w:r>
      <w:r w:rsidRPr="003929F8">
        <w:rPr>
          <w:rFonts w:eastAsia="Times New Roman" w:cs="Arial"/>
        </w:rPr>
        <w:t xml:space="preserve"> is a voluntary process.</w:t>
      </w:r>
    </w:p>
    <w:p w14:paraId="388527F5" w14:textId="5529835B" w:rsidR="005874E7" w:rsidRDefault="005874E7" w:rsidP="005874E7">
      <w:pPr>
        <w:rPr>
          <w:rFonts w:cs="Arial"/>
        </w:rPr>
      </w:pPr>
      <w:r>
        <w:rPr>
          <w:rFonts w:cs="Arial"/>
        </w:rPr>
        <w:t xml:space="preserve">The Complaints Handling Policy outlines the Office procedure for receiving and handling complaints. </w:t>
      </w:r>
      <w:r w:rsidRPr="00F47E6D">
        <w:rPr>
          <w:rFonts w:cs="Arial"/>
        </w:rPr>
        <w:t xml:space="preserve">Complaints </w:t>
      </w:r>
      <w:r>
        <w:rPr>
          <w:rFonts w:cs="Arial"/>
        </w:rPr>
        <w:t xml:space="preserve">initially </w:t>
      </w:r>
      <w:r w:rsidRPr="00F47E6D">
        <w:rPr>
          <w:rFonts w:cs="Arial"/>
        </w:rPr>
        <w:t>received by the Office are classified as an ‘enquiry’</w:t>
      </w:r>
      <w:r>
        <w:rPr>
          <w:rFonts w:cs="Arial"/>
        </w:rPr>
        <w:t xml:space="preserve"> and may be</w:t>
      </w:r>
      <w:r w:rsidRPr="00F47E6D">
        <w:rPr>
          <w:rFonts w:cs="Arial"/>
        </w:rPr>
        <w:t xml:space="preserve"> formally ‘accepted’ </w:t>
      </w:r>
      <w:r>
        <w:rPr>
          <w:rFonts w:cs="Arial"/>
        </w:rPr>
        <w:t xml:space="preserve">and progressed </w:t>
      </w:r>
      <w:r w:rsidRPr="00F47E6D">
        <w:rPr>
          <w:rFonts w:cs="Arial"/>
        </w:rPr>
        <w:t>by the Office once sufficient information</w:t>
      </w:r>
      <w:r>
        <w:rPr>
          <w:rFonts w:cs="Arial"/>
        </w:rPr>
        <w:t>,</w:t>
      </w:r>
      <w:r w:rsidRPr="00F47E6D">
        <w:rPr>
          <w:rFonts w:cs="Arial"/>
        </w:rPr>
        <w:t xml:space="preserve"> </w:t>
      </w:r>
      <w:r>
        <w:rPr>
          <w:rFonts w:cs="Arial"/>
        </w:rPr>
        <w:t xml:space="preserve">including </w:t>
      </w:r>
      <w:r w:rsidR="00956A2F">
        <w:rPr>
          <w:rFonts w:cs="Arial"/>
        </w:rPr>
        <w:t xml:space="preserve">written consent </w:t>
      </w:r>
      <w:r w:rsidRPr="00F47E6D">
        <w:rPr>
          <w:rFonts w:cs="Arial"/>
        </w:rPr>
        <w:t>to share information</w:t>
      </w:r>
      <w:r>
        <w:rPr>
          <w:rFonts w:cs="Arial"/>
        </w:rPr>
        <w:t>,</w:t>
      </w:r>
      <w:r w:rsidRPr="00F47E6D">
        <w:rPr>
          <w:rFonts w:cs="Arial"/>
        </w:rPr>
        <w:t xml:space="preserve"> has been provided by the complainant.</w:t>
      </w:r>
    </w:p>
    <w:p w14:paraId="675AA98F" w14:textId="7C83BA08" w:rsidR="005874E7" w:rsidRPr="003929F8" w:rsidRDefault="005874E7" w:rsidP="005874E7">
      <w:pPr>
        <w:autoSpaceDE w:val="0"/>
        <w:autoSpaceDN w:val="0"/>
        <w:adjustRightInd w:val="0"/>
        <w:spacing w:line="264" w:lineRule="auto"/>
        <w:rPr>
          <w:rFonts w:cs="Arial"/>
          <w:color w:val="000000"/>
          <w:lang w:eastAsia="en-AU"/>
        </w:rPr>
      </w:pPr>
      <w:r>
        <w:rPr>
          <w:rFonts w:cs="Arial"/>
          <w:color w:val="000000"/>
          <w:lang w:eastAsia="en-AU"/>
        </w:rPr>
        <w:t xml:space="preserve">In accordance with </w:t>
      </w:r>
      <w:r w:rsidRPr="008D7194">
        <w:rPr>
          <w:rFonts w:cs="Arial"/>
          <w:color w:val="000000"/>
          <w:lang w:eastAsia="en-AU"/>
        </w:rPr>
        <w:t xml:space="preserve">the policy, the Commissioner </w:t>
      </w:r>
      <w:r>
        <w:rPr>
          <w:rFonts w:cs="Arial"/>
          <w:color w:val="000000"/>
          <w:lang w:eastAsia="en-AU"/>
        </w:rPr>
        <w:t>may conclude that t</w:t>
      </w:r>
      <w:r w:rsidRPr="00EC27FE">
        <w:rPr>
          <w:rFonts w:cs="Arial"/>
          <w:color w:val="000000"/>
          <w:lang w:eastAsia="en-AU"/>
        </w:rPr>
        <w:t>he complaint would be</w:t>
      </w:r>
      <w:r w:rsidRPr="003929F8">
        <w:rPr>
          <w:rFonts w:cs="Arial"/>
          <w:color w:val="000000"/>
          <w:lang w:eastAsia="en-AU"/>
        </w:rPr>
        <w:t xml:space="preserve"> best </w:t>
      </w:r>
      <w:r>
        <w:rPr>
          <w:rFonts w:cs="Arial"/>
          <w:color w:val="000000"/>
          <w:lang w:eastAsia="en-AU"/>
        </w:rPr>
        <w:t>responded to directly by another party</w:t>
      </w:r>
      <w:r w:rsidRPr="003929F8">
        <w:rPr>
          <w:rFonts w:cs="Arial"/>
          <w:color w:val="000000"/>
          <w:lang w:eastAsia="en-AU"/>
        </w:rPr>
        <w:t xml:space="preserve"> such as the wind farm developer, win</w:t>
      </w:r>
      <w:r>
        <w:rPr>
          <w:rFonts w:cs="Arial"/>
          <w:color w:val="000000"/>
          <w:lang w:eastAsia="en-AU"/>
        </w:rPr>
        <w:t>d farm operator or a state or local g</w:t>
      </w:r>
      <w:r w:rsidRPr="003929F8">
        <w:rPr>
          <w:rFonts w:cs="Arial"/>
          <w:color w:val="000000"/>
          <w:lang w:eastAsia="en-AU"/>
        </w:rPr>
        <w:t xml:space="preserve">overnment department or agency. The Commissioner </w:t>
      </w:r>
      <w:r>
        <w:rPr>
          <w:rFonts w:cs="Arial"/>
          <w:color w:val="000000"/>
          <w:lang w:eastAsia="en-AU"/>
        </w:rPr>
        <w:t>refer</w:t>
      </w:r>
      <w:r w:rsidR="00956A2F">
        <w:rPr>
          <w:rFonts w:cs="Arial"/>
          <w:color w:val="000000"/>
          <w:lang w:eastAsia="en-AU"/>
        </w:rPr>
        <w:t>s</w:t>
      </w:r>
      <w:r>
        <w:rPr>
          <w:rFonts w:cs="Arial"/>
          <w:color w:val="000000"/>
          <w:lang w:eastAsia="en-AU"/>
        </w:rPr>
        <w:t xml:space="preserve"> complaint</w:t>
      </w:r>
      <w:r w:rsidR="00956A2F">
        <w:rPr>
          <w:rFonts w:cs="Arial"/>
          <w:color w:val="000000"/>
          <w:lang w:eastAsia="en-AU"/>
        </w:rPr>
        <w:t>s</w:t>
      </w:r>
      <w:r>
        <w:rPr>
          <w:rFonts w:cs="Arial"/>
          <w:color w:val="000000"/>
          <w:lang w:eastAsia="en-AU"/>
        </w:rPr>
        <w:t xml:space="preserve"> to the relevant party and </w:t>
      </w:r>
      <w:r w:rsidR="008838FF">
        <w:rPr>
          <w:rFonts w:cs="Arial"/>
          <w:color w:val="000000"/>
          <w:lang w:eastAsia="en-AU"/>
        </w:rPr>
        <w:t xml:space="preserve">may </w:t>
      </w:r>
      <w:r w:rsidRPr="003929F8">
        <w:rPr>
          <w:rFonts w:cs="Arial"/>
          <w:color w:val="000000"/>
          <w:lang w:eastAsia="en-AU"/>
        </w:rPr>
        <w:t>assist in facilitat</w:t>
      </w:r>
      <w:r>
        <w:rPr>
          <w:rFonts w:cs="Arial"/>
          <w:color w:val="000000"/>
          <w:lang w:eastAsia="en-AU"/>
        </w:rPr>
        <w:t xml:space="preserve">ing meetings </w:t>
      </w:r>
      <w:r w:rsidR="0046359B">
        <w:rPr>
          <w:rFonts w:cs="Arial"/>
          <w:color w:val="000000"/>
          <w:lang w:eastAsia="en-AU"/>
        </w:rPr>
        <w:t>to identify</w:t>
      </w:r>
      <w:r>
        <w:rPr>
          <w:rFonts w:cs="Arial"/>
          <w:color w:val="000000"/>
          <w:lang w:eastAsia="en-AU"/>
        </w:rPr>
        <w:t xml:space="preserve"> resolutions</w:t>
      </w:r>
      <w:r w:rsidRPr="009133B1">
        <w:rPr>
          <w:rFonts w:cs="Arial"/>
          <w:color w:val="000000"/>
          <w:lang w:eastAsia="en-AU"/>
        </w:rPr>
        <w:t xml:space="preserve"> </w:t>
      </w:r>
      <w:r>
        <w:rPr>
          <w:rFonts w:cs="Arial"/>
          <w:color w:val="000000"/>
          <w:lang w:eastAsia="en-AU"/>
        </w:rPr>
        <w:t xml:space="preserve">where </w:t>
      </w:r>
      <w:r w:rsidR="0046359B">
        <w:rPr>
          <w:rFonts w:cs="Arial"/>
          <w:color w:val="000000"/>
          <w:lang w:eastAsia="en-AU"/>
        </w:rPr>
        <w:t>appropriate</w:t>
      </w:r>
      <w:r w:rsidRPr="003929F8">
        <w:rPr>
          <w:rFonts w:cs="Arial"/>
          <w:color w:val="000000"/>
          <w:lang w:eastAsia="en-AU"/>
        </w:rPr>
        <w:t>.</w:t>
      </w:r>
      <w:r>
        <w:rPr>
          <w:rFonts w:cs="Arial"/>
          <w:color w:val="000000"/>
          <w:lang w:eastAsia="en-AU"/>
        </w:rPr>
        <w:t xml:space="preserve"> T</w:t>
      </w:r>
      <w:r w:rsidRPr="003929F8">
        <w:rPr>
          <w:rFonts w:cs="Arial"/>
          <w:color w:val="000000"/>
          <w:lang w:eastAsia="en-AU"/>
        </w:rPr>
        <w:t xml:space="preserve">he Commissioner may </w:t>
      </w:r>
      <w:r>
        <w:rPr>
          <w:rFonts w:cs="Arial"/>
          <w:color w:val="000000"/>
          <w:lang w:eastAsia="en-AU"/>
        </w:rPr>
        <w:t xml:space="preserve">also </w:t>
      </w:r>
      <w:r w:rsidRPr="003929F8">
        <w:rPr>
          <w:rFonts w:cs="Arial"/>
          <w:color w:val="000000"/>
          <w:lang w:eastAsia="en-AU"/>
        </w:rPr>
        <w:t>seek to conciliate the complaint between</w:t>
      </w:r>
      <w:r w:rsidRPr="00EC27FE">
        <w:rPr>
          <w:rFonts w:cs="Arial"/>
          <w:color w:val="000000"/>
          <w:lang w:eastAsia="en-AU"/>
        </w:rPr>
        <w:t xml:space="preserve"> a complainant</w:t>
      </w:r>
      <w:r w:rsidRPr="003929F8">
        <w:rPr>
          <w:rFonts w:cs="Arial"/>
          <w:color w:val="000000"/>
          <w:lang w:eastAsia="en-AU"/>
        </w:rPr>
        <w:t xml:space="preserve"> and the other party</w:t>
      </w:r>
      <w:r>
        <w:rPr>
          <w:rFonts w:cs="Arial"/>
          <w:color w:val="000000"/>
          <w:lang w:eastAsia="en-AU"/>
        </w:rPr>
        <w:t xml:space="preserve"> through a meeting or series of meetings</w:t>
      </w:r>
      <w:r w:rsidRPr="003929F8">
        <w:rPr>
          <w:rFonts w:cs="Arial"/>
          <w:color w:val="000000"/>
          <w:lang w:eastAsia="en-AU"/>
        </w:rPr>
        <w:t>.</w:t>
      </w:r>
      <w:r>
        <w:rPr>
          <w:rFonts w:cs="Arial"/>
          <w:color w:val="000000"/>
          <w:lang w:eastAsia="en-AU"/>
        </w:rPr>
        <w:t xml:space="preserve"> </w:t>
      </w:r>
      <w:r w:rsidRPr="004A6BBF">
        <w:rPr>
          <w:rFonts w:cs="Arial"/>
          <w:color w:val="000000"/>
          <w:lang w:eastAsia="en-AU"/>
        </w:rPr>
        <w:t xml:space="preserve">The Commissioner has the discretion to close a </w:t>
      </w:r>
      <w:r>
        <w:rPr>
          <w:rFonts w:cs="Arial"/>
          <w:color w:val="000000"/>
          <w:lang w:eastAsia="en-AU"/>
        </w:rPr>
        <w:t>complaint</w:t>
      </w:r>
      <w:r w:rsidRPr="004A6BBF">
        <w:rPr>
          <w:rFonts w:cs="Arial"/>
          <w:color w:val="000000"/>
          <w:lang w:eastAsia="en-AU"/>
        </w:rPr>
        <w:t xml:space="preserve"> </w:t>
      </w:r>
      <w:r w:rsidR="00956A2F">
        <w:rPr>
          <w:rFonts w:cs="Arial"/>
          <w:color w:val="000000"/>
          <w:lang w:eastAsia="en-AU"/>
        </w:rPr>
        <w:t xml:space="preserve">at any time and common reasons for closure </w:t>
      </w:r>
      <w:r w:rsidR="008838FF">
        <w:rPr>
          <w:rFonts w:cs="Arial"/>
          <w:color w:val="000000"/>
          <w:lang w:eastAsia="en-AU"/>
        </w:rPr>
        <w:t xml:space="preserve">of a complaint </w:t>
      </w:r>
      <w:r w:rsidR="00956A2F">
        <w:rPr>
          <w:rFonts w:cs="Arial"/>
          <w:color w:val="000000"/>
          <w:lang w:eastAsia="en-AU"/>
        </w:rPr>
        <w:t>are detailed in Sections 26, 27 and 28 of the Policy.</w:t>
      </w:r>
    </w:p>
    <w:p w14:paraId="1C27BEB3" w14:textId="01200A8D" w:rsidR="005874E7" w:rsidRDefault="005874E7" w:rsidP="005874E7">
      <w:pPr>
        <w:rPr>
          <w:rFonts w:cs="Arial"/>
        </w:rPr>
      </w:pPr>
      <w:r w:rsidRPr="003929F8">
        <w:rPr>
          <w:rFonts w:cs="Arial"/>
        </w:rPr>
        <w:t xml:space="preserve">The </w:t>
      </w:r>
      <w:r w:rsidR="0032384D">
        <w:rPr>
          <w:rFonts w:cs="Arial"/>
        </w:rPr>
        <w:t xml:space="preserve">Office is also guided by the </w:t>
      </w:r>
      <w:r w:rsidRPr="003929F8">
        <w:rPr>
          <w:rFonts w:cs="Arial"/>
        </w:rPr>
        <w:t xml:space="preserve">Information Handling Policy </w:t>
      </w:r>
      <w:r w:rsidR="0032384D">
        <w:rPr>
          <w:rFonts w:cs="Arial"/>
        </w:rPr>
        <w:t>when</w:t>
      </w:r>
      <w:r w:rsidRPr="003929F8">
        <w:rPr>
          <w:rFonts w:cs="Arial"/>
        </w:rPr>
        <w:t xml:space="preserve"> handling complaints received by the Office. </w:t>
      </w:r>
      <w:r>
        <w:rPr>
          <w:rFonts w:cs="Arial"/>
        </w:rPr>
        <w:t xml:space="preserve">This policy outlines what information the Office </w:t>
      </w:r>
      <w:r w:rsidR="0032384D">
        <w:rPr>
          <w:rFonts w:cs="Arial"/>
        </w:rPr>
        <w:t>collects</w:t>
      </w:r>
      <w:r>
        <w:rPr>
          <w:rFonts w:cs="Arial"/>
        </w:rPr>
        <w:t xml:space="preserve">, how this information may be disclosed as well as information on confidentiality and privacy. </w:t>
      </w:r>
      <w:r w:rsidRPr="003929F8">
        <w:rPr>
          <w:rFonts w:cs="Arial"/>
        </w:rPr>
        <w:t>This policy is available on the Office’s website</w:t>
      </w:r>
      <w:r>
        <w:rPr>
          <w:rFonts w:cs="Arial"/>
        </w:rPr>
        <w:t xml:space="preserve"> at </w:t>
      </w:r>
      <w:hyperlink r:id="rId30" w:history="1">
        <w:r w:rsidRPr="00AB5D3A">
          <w:rPr>
            <w:rStyle w:val="Hyperlink"/>
            <w:rFonts w:cs="Arial"/>
          </w:rPr>
          <w:t>www.nwfc.gov.au</w:t>
        </w:r>
      </w:hyperlink>
      <w:r>
        <w:rPr>
          <w:rFonts w:cs="Arial"/>
        </w:rPr>
        <w:t>.</w:t>
      </w:r>
    </w:p>
    <w:p w14:paraId="3BCB9425" w14:textId="77777777" w:rsidR="005874E7" w:rsidRPr="00F47E6D" w:rsidRDefault="005874E7" w:rsidP="005874E7">
      <w:pPr>
        <w:pStyle w:val="Heading2"/>
      </w:pPr>
      <w:bookmarkStart w:id="13" w:name="_Toc511140607"/>
      <w:r w:rsidRPr="00F47E6D">
        <w:lastRenderedPageBreak/>
        <w:t>Complaint Activity</w:t>
      </w:r>
      <w:bookmarkEnd w:id="13"/>
    </w:p>
    <w:p w14:paraId="0BFF3559" w14:textId="617081C3" w:rsidR="005874E7" w:rsidRDefault="005874E7" w:rsidP="005874E7">
      <w:pPr>
        <w:spacing w:line="264" w:lineRule="auto"/>
        <w:rPr>
          <w:rFonts w:cs="Arial"/>
        </w:rPr>
      </w:pPr>
      <w:r>
        <w:rPr>
          <w:rFonts w:cs="Arial"/>
        </w:rPr>
        <w:t>From</w:t>
      </w:r>
      <w:r w:rsidRPr="00F47E6D">
        <w:rPr>
          <w:rFonts w:cs="Arial"/>
        </w:rPr>
        <w:t xml:space="preserve"> </w:t>
      </w:r>
      <w:r>
        <w:rPr>
          <w:rFonts w:cs="Arial"/>
        </w:rPr>
        <w:t xml:space="preserve">the </w:t>
      </w:r>
      <w:r w:rsidR="00012BD7">
        <w:rPr>
          <w:rFonts w:cs="Arial"/>
        </w:rPr>
        <w:t>period of 1 January 2017</w:t>
      </w:r>
      <w:r>
        <w:rPr>
          <w:rFonts w:cs="Arial"/>
        </w:rPr>
        <w:t xml:space="preserve"> to 31</w:t>
      </w:r>
      <w:r w:rsidRPr="00F47E6D">
        <w:rPr>
          <w:rFonts w:cs="Arial"/>
        </w:rPr>
        <w:t xml:space="preserve"> December 201</w:t>
      </w:r>
      <w:r w:rsidR="00012BD7">
        <w:rPr>
          <w:rFonts w:cs="Arial"/>
        </w:rPr>
        <w:t>7</w:t>
      </w:r>
      <w:r w:rsidRPr="00F47E6D">
        <w:rPr>
          <w:rFonts w:cs="Arial"/>
        </w:rPr>
        <w:t xml:space="preserve">, the Office received a total of </w:t>
      </w:r>
      <w:r w:rsidR="00012BD7">
        <w:rPr>
          <w:rFonts w:cs="Arial"/>
        </w:rPr>
        <w:t>7</w:t>
      </w:r>
      <w:r w:rsidR="0026395F">
        <w:rPr>
          <w:rFonts w:cs="Arial"/>
        </w:rPr>
        <w:t>3</w:t>
      </w:r>
      <w:r w:rsidRPr="00F47E6D">
        <w:rPr>
          <w:rFonts w:cs="Arial"/>
        </w:rPr>
        <w:t xml:space="preserve"> complaints</w:t>
      </w:r>
      <w:r>
        <w:rPr>
          <w:rFonts w:cs="Arial"/>
        </w:rPr>
        <w:t xml:space="preserve">. </w:t>
      </w:r>
      <w:r w:rsidR="00813A4E">
        <w:rPr>
          <w:rFonts w:cs="Arial"/>
        </w:rPr>
        <w:t>The breakdown of the complaints received are as follows</w:t>
      </w:r>
      <w:r>
        <w:rPr>
          <w:rFonts w:cs="Arial"/>
        </w:rPr>
        <w:t>:</w:t>
      </w:r>
    </w:p>
    <w:p w14:paraId="58AE4C01" w14:textId="05B6F688" w:rsidR="005874E7" w:rsidRPr="00D4498E" w:rsidRDefault="00012BD7" w:rsidP="00D35B01">
      <w:pPr>
        <w:pStyle w:val="ListParagraph"/>
        <w:numPr>
          <w:ilvl w:val="0"/>
          <w:numId w:val="30"/>
        </w:numPr>
        <w:spacing w:line="264" w:lineRule="auto"/>
        <w:rPr>
          <w:rFonts w:cs="Arial"/>
        </w:rPr>
      </w:pPr>
      <w:r>
        <w:rPr>
          <w:rFonts w:cs="Arial"/>
          <w:color w:val="000000"/>
          <w:lang w:eastAsia="en-AU"/>
        </w:rPr>
        <w:t>11</w:t>
      </w:r>
      <w:r w:rsidR="005874E7" w:rsidRPr="00D4498E">
        <w:rPr>
          <w:rFonts w:cs="Arial"/>
          <w:color w:val="000000"/>
          <w:lang w:eastAsia="en-AU"/>
        </w:rPr>
        <w:t xml:space="preserve"> complaints </w:t>
      </w:r>
      <w:r w:rsidR="00813A4E">
        <w:rPr>
          <w:rFonts w:cs="Arial"/>
          <w:color w:val="000000"/>
          <w:lang w:eastAsia="en-AU"/>
        </w:rPr>
        <w:t xml:space="preserve">were received </w:t>
      </w:r>
      <w:r w:rsidR="005874E7">
        <w:rPr>
          <w:rFonts w:cs="Arial"/>
          <w:color w:val="000000"/>
          <w:lang w:eastAsia="en-AU"/>
        </w:rPr>
        <w:t>relating to</w:t>
      </w:r>
      <w:r>
        <w:rPr>
          <w:rFonts w:cs="Arial"/>
          <w:color w:val="000000"/>
          <w:lang w:eastAsia="en-AU"/>
        </w:rPr>
        <w:t xml:space="preserve"> five</w:t>
      </w:r>
      <w:r w:rsidR="005874E7" w:rsidRPr="00D4498E">
        <w:rPr>
          <w:rFonts w:cs="Arial"/>
          <w:color w:val="000000"/>
          <w:lang w:eastAsia="en-AU"/>
        </w:rPr>
        <w:t xml:space="preserve"> operating wind farms</w:t>
      </w:r>
    </w:p>
    <w:p w14:paraId="31A6B6CE" w14:textId="571C7BF2" w:rsidR="005874E7" w:rsidRPr="00D4498E" w:rsidRDefault="00012BD7" w:rsidP="00D35B01">
      <w:pPr>
        <w:pStyle w:val="ListParagraph"/>
        <w:numPr>
          <w:ilvl w:val="0"/>
          <w:numId w:val="30"/>
        </w:numPr>
        <w:autoSpaceDE w:val="0"/>
        <w:autoSpaceDN w:val="0"/>
        <w:adjustRightInd w:val="0"/>
        <w:spacing w:line="264" w:lineRule="auto"/>
        <w:rPr>
          <w:rFonts w:cs="Arial"/>
          <w:color w:val="000000"/>
          <w:lang w:eastAsia="en-AU"/>
        </w:rPr>
      </w:pPr>
      <w:r>
        <w:rPr>
          <w:rFonts w:cs="Arial"/>
          <w:color w:val="000000"/>
          <w:lang w:eastAsia="en-AU"/>
        </w:rPr>
        <w:t>5</w:t>
      </w:r>
      <w:r w:rsidR="0026395F">
        <w:rPr>
          <w:rFonts w:cs="Arial"/>
          <w:color w:val="000000"/>
          <w:lang w:eastAsia="en-AU"/>
        </w:rPr>
        <w:t>4</w:t>
      </w:r>
      <w:r w:rsidR="005874E7" w:rsidRPr="00D4498E">
        <w:rPr>
          <w:rFonts w:cs="Arial"/>
          <w:color w:val="000000"/>
          <w:lang w:eastAsia="en-AU"/>
        </w:rPr>
        <w:t xml:space="preserve"> complaints </w:t>
      </w:r>
      <w:r w:rsidR="00813A4E">
        <w:rPr>
          <w:rFonts w:cs="Arial"/>
          <w:color w:val="000000"/>
          <w:lang w:eastAsia="en-AU"/>
        </w:rPr>
        <w:t xml:space="preserve">were received </w:t>
      </w:r>
      <w:r w:rsidR="005874E7">
        <w:rPr>
          <w:rFonts w:cs="Arial"/>
          <w:color w:val="000000"/>
          <w:lang w:eastAsia="en-AU"/>
        </w:rPr>
        <w:t>relating to 19</w:t>
      </w:r>
      <w:r w:rsidR="005874E7" w:rsidRPr="00D4498E">
        <w:rPr>
          <w:rFonts w:cs="Arial"/>
          <w:color w:val="000000"/>
          <w:lang w:eastAsia="en-AU"/>
        </w:rPr>
        <w:t xml:space="preserve"> proposed wind farms</w:t>
      </w:r>
    </w:p>
    <w:p w14:paraId="63BFBAA6" w14:textId="2032AB6E" w:rsidR="005874E7" w:rsidRPr="00D4498E" w:rsidRDefault="00813A4E" w:rsidP="00D35B01">
      <w:pPr>
        <w:pStyle w:val="ListParagraph"/>
        <w:numPr>
          <w:ilvl w:val="0"/>
          <w:numId w:val="30"/>
        </w:numPr>
        <w:autoSpaceDE w:val="0"/>
        <w:autoSpaceDN w:val="0"/>
        <w:adjustRightInd w:val="0"/>
        <w:spacing w:line="264" w:lineRule="auto"/>
        <w:rPr>
          <w:rFonts w:cs="Arial"/>
          <w:color w:val="000000"/>
          <w:lang w:eastAsia="en-AU"/>
        </w:rPr>
      </w:pPr>
      <w:r>
        <w:rPr>
          <w:rFonts w:cs="Arial"/>
          <w:color w:val="000000"/>
          <w:lang w:eastAsia="en-AU"/>
        </w:rPr>
        <w:t>E</w:t>
      </w:r>
      <w:r w:rsidR="00012BD7">
        <w:rPr>
          <w:rFonts w:cs="Arial"/>
          <w:color w:val="000000"/>
          <w:lang w:eastAsia="en-AU"/>
        </w:rPr>
        <w:t>ight</w:t>
      </w:r>
      <w:r w:rsidR="005874E7" w:rsidRPr="00D4498E">
        <w:rPr>
          <w:rFonts w:cs="Arial"/>
          <w:color w:val="000000"/>
          <w:lang w:eastAsia="en-AU"/>
        </w:rPr>
        <w:t xml:space="preserve"> complaints </w:t>
      </w:r>
      <w:r>
        <w:rPr>
          <w:rFonts w:cs="Arial"/>
          <w:color w:val="000000"/>
          <w:lang w:eastAsia="en-AU"/>
        </w:rPr>
        <w:t xml:space="preserve">were received </w:t>
      </w:r>
      <w:r w:rsidR="005874E7" w:rsidRPr="00D4498E">
        <w:rPr>
          <w:rFonts w:cs="Arial"/>
          <w:color w:val="000000"/>
          <w:lang w:eastAsia="en-AU"/>
        </w:rPr>
        <w:t xml:space="preserve">that did not specify a </w:t>
      </w:r>
      <w:r w:rsidR="00007830">
        <w:rPr>
          <w:rFonts w:cs="Arial"/>
          <w:color w:val="000000"/>
          <w:lang w:eastAsia="en-AU"/>
        </w:rPr>
        <w:t xml:space="preserve">particular </w:t>
      </w:r>
      <w:r w:rsidR="005874E7" w:rsidRPr="00D4498E">
        <w:rPr>
          <w:rFonts w:cs="Arial"/>
          <w:color w:val="000000"/>
          <w:lang w:eastAsia="en-AU"/>
        </w:rPr>
        <w:t>wind farm</w:t>
      </w:r>
      <w:r w:rsidR="005874E7">
        <w:rPr>
          <w:rFonts w:cs="Arial"/>
          <w:color w:val="000000"/>
          <w:lang w:eastAsia="en-AU"/>
        </w:rPr>
        <w:t>.</w:t>
      </w:r>
    </w:p>
    <w:p w14:paraId="4D686CE3" w14:textId="03FAE55D" w:rsidR="00012BD7" w:rsidRPr="00080CEC" w:rsidRDefault="00012BD7" w:rsidP="00C056EF">
      <w:pPr>
        <w:spacing w:line="264" w:lineRule="auto"/>
        <w:rPr>
          <w:rFonts w:cs="Arial"/>
        </w:rPr>
      </w:pPr>
      <w:r w:rsidRPr="00080CEC">
        <w:rPr>
          <w:rFonts w:cs="Arial"/>
        </w:rPr>
        <w:t xml:space="preserve">From the Office’s inception </w:t>
      </w:r>
      <w:r w:rsidR="00813A4E">
        <w:rPr>
          <w:rFonts w:cs="Arial"/>
        </w:rPr>
        <w:t>through</w:t>
      </w:r>
      <w:r w:rsidRPr="00080CEC">
        <w:rPr>
          <w:rFonts w:cs="Arial"/>
        </w:rPr>
        <w:t xml:space="preserve"> to 31 December 2017</w:t>
      </w:r>
      <w:r w:rsidR="004C31A6">
        <w:rPr>
          <w:rFonts w:cs="Arial"/>
        </w:rPr>
        <w:t xml:space="preserve"> (a period of 26 months)</w:t>
      </w:r>
      <w:r w:rsidRPr="00080CEC">
        <w:rPr>
          <w:rFonts w:cs="Arial"/>
        </w:rPr>
        <w:t>, the Office received a total of 16</w:t>
      </w:r>
      <w:r w:rsidR="0026395F" w:rsidRPr="00080CEC">
        <w:rPr>
          <w:rFonts w:cs="Arial"/>
        </w:rPr>
        <w:t>3</w:t>
      </w:r>
      <w:r w:rsidRPr="00080CEC">
        <w:rPr>
          <w:rFonts w:cs="Arial"/>
        </w:rPr>
        <w:t xml:space="preserve"> complaints. In summary, </w:t>
      </w:r>
      <w:r w:rsidR="0083029A">
        <w:rPr>
          <w:rFonts w:cs="Arial"/>
        </w:rPr>
        <w:t xml:space="preserve">for the period 1 November 2015 through 31 December 2017, </w:t>
      </w:r>
      <w:r w:rsidRPr="00080CEC">
        <w:rPr>
          <w:rFonts w:cs="Arial"/>
        </w:rPr>
        <w:t>the Office ha</w:t>
      </w:r>
      <w:r w:rsidR="005E2B10">
        <w:rPr>
          <w:rFonts w:cs="Arial"/>
        </w:rPr>
        <w:t>d</w:t>
      </w:r>
      <w:r w:rsidRPr="00080CEC">
        <w:rPr>
          <w:rFonts w:cs="Arial"/>
        </w:rPr>
        <w:t xml:space="preserve"> received:</w:t>
      </w:r>
    </w:p>
    <w:p w14:paraId="3A262099" w14:textId="4248F458" w:rsidR="00012BD7" w:rsidRPr="00080CEC" w:rsidRDefault="0026395F" w:rsidP="00D35B01">
      <w:pPr>
        <w:pStyle w:val="ListParagraph"/>
        <w:numPr>
          <w:ilvl w:val="0"/>
          <w:numId w:val="30"/>
        </w:numPr>
        <w:spacing w:line="264" w:lineRule="auto"/>
        <w:rPr>
          <w:rFonts w:cs="Arial"/>
        </w:rPr>
      </w:pPr>
      <w:r w:rsidRPr="00080CEC">
        <w:rPr>
          <w:rFonts w:cs="Arial"/>
          <w:color w:val="000000"/>
          <w:lang w:eastAsia="en-AU"/>
        </w:rPr>
        <w:t>57</w:t>
      </w:r>
      <w:r w:rsidR="00012BD7" w:rsidRPr="00080CEC">
        <w:rPr>
          <w:rFonts w:cs="Arial"/>
          <w:color w:val="000000"/>
          <w:lang w:eastAsia="en-AU"/>
        </w:rPr>
        <w:t xml:space="preserve"> complaints relating to </w:t>
      </w:r>
      <w:r w:rsidR="00813A4E">
        <w:rPr>
          <w:rFonts w:cs="Arial"/>
          <w:color w:val="000000"/>
          <w:lang w:eastAsia="en-AU"/>
        </w:rPr>
        <w:t>nine</w:t>
      </w:r>
      <w:r w:rsidR="00012BD7" w:rsidRPr="00080CEC">
        <w:rPr>
          <w:rFonts w:cs="Arial"/>
          <w:color w:val="000000"/>
          <w:lang w:eastAsia="en-AU"/>
        </w:rPr>
        <w:t xml:space="preserve"> operating wind farms</w:t>
      </w:r>
    </w:p>
    <w:p w14:paraId="63BD6924" w14:textId="3B6BDDDC" w:rsidR="00012BD7" w:rsidRPr="00080CEC" w:rsidRDefault="0026395F" w:rsidP="00D35B01">
      <w:pPr>
        <w:pStyle w:val="ListParagraph"/>
        <w:numPr>
          <w:ilvl w:val="0"/>
          <w:numId w:val="30"/>
        </w:numPr>
        <w:autoSpaceDE w:val="0"/>
        <w:autoSpaceDN w:val="0"/>
        <w:adjustRightInd w:val="0"/>
        <w:spacing w:line="264" w:lineRule="auto"/>
        <w:rPr>
          <w:rFonts w:cs="Arial"/>
          <w:color w:val="000000"/>
          <w:lang w:eastAsia="en-AU"/>
        </w:rPr>
      </w:pPr>
      <w:r w:rsidRPr="00080CEC">
        <w:rPr>
          <w:rFonts w:cs="Arial"/>
          <w:color w:val="000000"/>
          <w:lang w:eastAsia="en-AU"/>
        </w:rPr>
        <w:t>96</w:t>
      </w:r>
      <w:r w:rsidR="00012BD7" w:rsidRPr="00080CEC">
        <w:rPr>
          <w:rFonts w:cs="Arial"/>
          <w:color w:val="000000"/>
          <w:lang w:eastAsia="en-AU"/>
        </w:rPr>
        <w:t xml:space="preserve"> complaints relating to </w:t>
      </w:r>
      <w:r w:rsidR="004C31A6">
        <w:rPr>
          <w:rFonts w:cs="Arial"/>
          <w:color w:val="000000"/>
          <w:lang w:eastAsia="en-AU"/>
        </w:rPr>
        <w:t>29</w:t>
      </w:r>
      <w:r w:rsidR="00012BD7" w:rsidRPr="00080CEC">
        <w:rPr>
          <w:rFonts w:cs="Arial"/>
          <w:color w:val="000000"/>
          <w:lang w:eastAsia="en-AU"/>
        </w:rPr>
        <w:t xml:space="preserve"> proposed wind farms</w:t>
      </w:r>
    </w:p>
    <w:p w14:paraId="747788EE" w14:textId="77777777" w:rsidR="00012BD7" w:rsidRPr="00080CEC" w:rsidRDefault="00012BD7" w:rsidP="00D35B01">
      <w:pPr>
        <w:pStyle w:val="ListParagraph"/>
        <w:numPr>
          <w:ilvl w:val="0"/>
          <w:numId w:val="30"/>
        </w:numPr>
        <w:autoSpaceDE w:val="0"/>
        <w:autoSpaceDN w:val="0"/>
        <w:adjustRightInd w:val="0"/>
        <w:spacing w:line="264" w:lineRule="auto"/>
        <w:rPr>
          <w:rFonts w:cs="Arial"/>
          <w:color w:val="000000"/>
          <w:lang w:eastAsia="en-AU"/>
        </w:rPr>
      </w:pPr>
      <w:r w:rsidRPr="00080CEC">
        <w:rPr>
          <w:rFonts w:cs="Arial"/>
          <w:color w:val="000000"/>
          <w:lang w:eastAsia="en-AU"/>
        </w:rPr>
        <w:t>10 complaints that did not specify a wind farm.</w:t>
      </w:r>
    </w:p>
    <w:p w14:paraId="28CD0028" w14:textId="299D3F2B" w:rsidR="005874E7" w:rsidRPr="00D175B1" w:rsidRDefault="005874E7" w:rsidP="005874E7">
      <w:pPr>
        <w:autoSpaceDE w:val="0"/>
        <w:autoSpaceDN w:val="0"/>
        <w:adjustRightInd w:val="0"/>
        <w:spacing w:line="264" w:lineRule="auto"/>
        <w:rPr>
          <w:rFonts w:cs="Arial"/>
          <w:color w:val="000000"/>
          <w:lang w:eastAsia="en-AU"/>
        </w:rPr>
      </w:pPr>
      <w:r>
        <w:rPr>
          <w:rFonts w:cs="Arial"/>
          <w:color w:val="000000"/>
          <w:lang w:eastAsia="en-AU"/>
        </w:rPr>
        <w:t>A</w:t>
      </w:r>
      <w:r w:rsidRPr="00D175B1">
        <w:rPr>
          <w:rFonts w:cs="Arial"/>
          <w:color w:val="000000"/>
          <w:lang w:eastAsia="en-AU"/>
        </w:rPr>
        <w:t>s at 31 December 201</w:t>
      </w:r>
      <w:r w:rsidR="00C056EF">
        <w:rPr>
          <w:rFonts w:cs="Arial"/>
          <w:color w:val="000000"/>
          <w:lang w:eastAsia="en-AU"/>
        </w:rPr>
        <w:t>7</w:t>
      </w:r>
      <w:r w:rsidRPr="00D175B1">
        <w:rPr>
          <w:rFonts w:cs="Arial"/>
          <w:color w:val="000000"/>
          <w:lang w:eastAsia="en-AU"/>
        </w:rPr>
        <w:t xml:space="preserve">, </w:t>
      </w:r>
      <w:r w:rsidR="004C31A6">
        <w:rPr>
          <w:rFonts w:cs="Arial"/>
          <w:color w:val="000000"/>
          <w:lang w:eastAsia="en-AU"/>
        </w:rPr>
        <w:t>of the total of 163 complaints received</w:t>
      </w:r>
      <w:r w:rsidR="00617B64">
        <w:rPr>
          <w:rFonts w:cs="Arial"/>
          <w:color w:val="000000"/>
          <w:lang w:eastAsia="en-AU"/>
        </w:rPr>
        <w:t xml:space="preserve"> since inception</w:t>
      </w:r>
      <w:r w:rsidR="004C31A6">
        <w:rPr>
          <w:rFonts w:cs="Arial"/>
          <w:color w:val="000000"/>
          <w:lang w:eastAsia="en-AU"/>
        </w:rPr>
        <w:t xml:space="preserve">, </w:t>
      </w:r>
      <w:r w:rsidR="00012BD7">
        <w:rPr>
          <w:rFonts w:cs="Arial"/>
          <w:color w:val="000000"/>
          <w:lang w:eastAsia="en-AU"/>
        </w:rPr>
        <w:t>14</w:t>
      </w:r>
      <w:r w:rsidR="0026395F">
        <w:rPr>
          <w:rFonts w:cs="Arial"/>
          <w:color w:val="000000"/>
          <w:lang w:eastAsia="en-AU"/>
        </w:rPr>
        <w:t>5</w:t>
      </w:r>
      <w:r w:rsidRPr="00D175B1">
        <w:rPr>
          <w:rFonts w:cs="Arial"/>
          <w:color w:val="000000"/>
          <w:lang w:eastAsia="en-AU"/>
        </w:rPr>
        <w:t xml:space="preserve"> </w:t>
      </w:r>
      <w:r w:rsidR="00617B64">
        <w:rPr>
          <w:rFonts w:cs="Arial"/>
          <w:color w:val="000000"/>
          <w:lang w:eastAsia="en-AU"/>
        </w:rPr>
        <w:t xml:space="preserve">of those </w:t>
      </w:r>
      <w:r>
        <w:rPr>
          <w:rFonts w:cs="Arial"/>
          <w:color w:val="000000"/>
          <w:lang w:eastAsia="en-AU"/>
        </w:rPr>
        <w:t xml:space="preserve">complaints </w:t>
      </w:r>
      <w:r w:rsidR="004C31A6">
        <w:rPr>
          <w:rFonts w:cs="Arial"/>
          <w:color w:val="000000"/>
          <w:lang w:eastAsia="en-AU"/>
        </w:rPr>
        <w:t>had been</w:t>
      </w:r>
      <w:r>
        <w:rPr>
          <w:rFonts w:cs="Arial"/>
          <w:color w:val="000000"/>
          <w:lang w:eastAsia="en-AU"/>
        </w:rPr>
        <w:t xml:space="preserve"> closed by the Office. T</w:t>
      </w:r>
      <w:r w:rsidRPr="00D175B1">
        <w:rPr>
          <w:rFonts w:cs="Arial"/>
          <w:color w:val="000000"/>
          <w:lang w:eastAsia="en-AU"/>
        </w:rPr>
        <w:t xml:space="preserve">he remaining </w:t>
      </w:r>
      <w:r w:rsidR="00012BD7">
        <w:rPr>
          <w:rFonts w:cs="Arial"/>
          <w:color w:val="000000"/>
          <w:lang w:eastAsia="en-AU"/>
        </w:rPr>
        <w:t>18</w:t>
      </w:r>
      <w:r w:rsidRPr="00D175B1">
        <w:rPr>
          <w:rFonts w:cs="Arial"/>
          <w:color w:val="000000"/>
          <w:lang w:eastAsia="en-AU"/>
        </w:rPr>
        <w:t xml:space="preserve"> matters </w:t>
      </w:r>
      <w:r>
        <w:rPr>
          <w:rFonts w:cs="Arial"/>
          <w:color w:val="000000"/>
          <w:lang w:eastAsia="en-AU"/>
        </w:rPr>
        <w:t xml:space="preserve">are </w:t>
      </w:r>
      <w:r w:rsidRPr="00D175B1">
        <w:rPr>
          <w:rFonts w:cs="Arial"/>
          <w:color w:val="000000"/>
          <w:lang w:eastAsia="en-AU"/>
        </w:rPr>
        <w:t>at various stages of the complaint handling process.</w:t>
      </w:r>
    </w:p>
    <w:p w14:paraId="5B8BD55F" w14:textId="77777777" w:rsidR="005874E7" w:rsidRPr="00F47E6D" w:rsidRDefault="005874E7" w:rsidP="005874E7">
      <w:pPr>
        <w:rPr>
          <w:rFonts w:cs="Arial"/>
        </w:rPr>
      </w:pPr>
      <w:r>
        <w:rPr>
          <w:rFonts w:cs="Arial"/>
        </w:rPr>
        <w:t>Further information on these complaints is outlined below</w:t>
      </w:r>
      <w:r w:rsidRPr="00F47E6D">
        <w:rPr>
          <w:rFonts w:cs="Arial"/>
        </w:rPr>
        <w:t>.</w:t>
      </w:r>
    </w:p>
    <w:p w14:paraId="1E858B5C" w14:textId="77777777" w:rsidR="005874E7" w:rsidRPr="00F47E6D" w:rsidRDefault="005874E7" w:rsidP="005874E7">
      <w:pPr>
        <w:pStyle w:val="Heading2"/>
      </w:pPr>
      <w:bookmarkStart w:id="14" w:name="_Toc511140608"/>
      <w:r>
        <w:t>Proposed Wind Farms versus Operating Wind Farms</w:t>
      </w:r>
      <w:bookmarkEnd w:id="14"/>
    </w:p>
    <w:p w14:paraId="044006D7" w14:textId="68D4484D" w:rsidR="005874E7" w:rsidRDefault="005874E7" w:rsidP="005874E7">
      <w:pPr>
        <w:spacing w:line="264" w:lineRule="auto"/>
        <w:rPr>
          <w:rFonts w:cs="Arial"/>
        </w:rPr>
      </w:pPr>
      <w:r w:rsidRPr="00C360CD">
        <w:rPr>
          <w:rFonts w:cs="Arial"/>
        </w:rPr>
        <w:t xml:space="preserve">Figure </w:t>
      </w:r>
      <w:r>
        <w:rPr>
          <w:rFonts w:cs="Arial"/>
        </w:rPr>
        <w:t>1</w:t>
      </w:r>
      <w:r w:rsidRPr="00C360CD">
        <w:rPr>
          <w:rFonts w:cs="Arial"/>
        </w:rPr>
        <w:t xml:space="preserve"> below provides information on the number of complaints the Office has received in relation to proposed and operating wind farms</w:t>
      </w:r>
      <w:r w:rsidRPr="00C360CD" w:rsidDel="003B1911">
        <w:rPr>
          <w:rFonts w:cs="Arial"/>
        </w:rPr>
        <w:t xml:space="preserve"> </w:t>
      </w:r>
      <w:r w:rsidR="0083029A">
        <w:rPr>
          <w:rFonts w:cs="Arial"/>
        </w:rPr>
        <w:t>for</w:t>
      </w:r>
      <w:r w:rsidR="002E13ED">
        <w:rPr>
          <w:rFonts w:cs="Arial"/>
        </w:rPr>
        <w:t xml:space="preserve"> the period of 1 January 2017 to 31</w:t>
      </w:r>
      <w:r w:rsidR="002E13ED" w:rsidRPr="00F47E6D">
        <w:rPr>
          <w:rFonts w:cs="Arial"/>
        </w:rPr>
        <w:t xml:space="preserve"> December 201</w:t>
      </w:r>
      <w:r w:rsidR="002E13ED">
        <w:rPr>
          <w:rFonts w:cs="Arial"/>
        </w:rPr>
        <w:t>7</w:t>
      </w:r>
      <w:r w:rsidRPr="00C360CD">
        <w:rPr>
          <w:rFonts w:cs="Arial"/>
        </w:rPr>
        <w:t>.</w:t>
      </w:r>
      <w:r w:rsidRPr="00E30C58">
        <w:rPr>
          <w:rFonts w:cs="Arial"/>
        </w:rPr>
        <w:t xml:space="preserve"> </w:t>
      </w:r>
      <w:r>
        <w:rPr>
          <w:rFonts w:cs="Arial"/>
        </w:rPr>
        <w:t>P</w:t>
      </w:r>
      <w:r w:rsidRPr="00E30C58">
        <w:rPr>
          <w:rFonts w:cs="Arial"/>
        </w:rPr>
        <w:t xml:space="preserve">roposed wind farms are those which are at </w:t>
      </w:r>
      <w:r w:rsidR="005E2B10">
        <w:rPr>
          <w:rFonts w:cs="Arial"/>
        </w:rPr>
        <w:t xml:space="preserve">either the </w:t>
      </w:r>
      <w:r w:rsidR="002E13ED">
        <w:rPr>
          <w:rFonts w:cs="Arial"/>
        </w:rPr>
        <w:t xml:space="preserve">planning stage, have been approved by a state planning authority or are under construction </w:t>
      </w:r>
      <w:r w:rsidR="005E2B10">
        <w:rPr>
          <w:rFonts w:cs="Arial"/>
        </w:rPr>
        <w:t xml:space="preserve">– but </w:t>
      </w:r>
      <w:r w:rsidR="002E13ED">
        <w:rPr>
          <w:rFonts w:cs="Arial"/>
        </w:rPr>
        <w:t xml:space="preserve">not </w:t>
      </w:r>
      <w:r w:rsidR="0044051C">
        <w:rPr>
          <w:rFonts w:cs="Arial"/>
        </w:rPr>
        <w:t>yet operating</w:t>
      </w:r>
      <w:r>
        <w:rPr>
          <w:rFonts w:cs="Arial"/>
        </w:rPr>
        <w:t>.</w:t>
      </w:r>
    </w:p>
    <w:p w14:paraId="17738DDB" w14:textId="0C7FDD7C" w:rsidR="00407C7D" w:rsidRPr="00E3083C" w:rsidRDefault="00407C7D" w:rsidP="005874E7">
      <w:pPr>
        <w:spacing w:line="264" w:lineRule="auto"/>
        <w:rPr>
          <w:rFonts w:cs="Arial"/>
          <w:color w:val="000000"/>
          <w:lang w:eastAsia="en-AU"/>
        </w:rPr>
      </w:pPr>
      <w:r>
        <w:rPr>
          <w:rFonts w:cs="Arial"/>
          <w:noProof/>
          <w:lang w:eastAsia="en-AU"/>
        </w:rPr>
        <w:drawing>
          <wp:inline distT="0" distB="0" distL="0" distR="0" wp14:anchorId="20609A25" wp14:editId="2B0B2558">
            <wp:extent cx="6645910" cy="3657600"/>
            <wp:effectExtent l="38100" t="38100" r="97790" b="9525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05094B3" w14:textId="3432A5EB" w:rsidR="005874E7" w:rsidRDefault="005874E7" w:rsidP="005874E7">
      <w:pPr>
        <w:pStyle w:val="Heading2"/>
      </w:pPr>
      <w:bookmarkStart w:id="15" w:name="_Toc511140609"/>
      <w:r>
        <w:lastRenderedPageBreak/>
        <w:t>Operating Wind Farms</w:t>
      </w:r>
      <w:r w:rsidR="007C1755">
        <w:t xml:space="preserve"> – Complaints in 2017</w:t>
      </w:r>
      <w:bookmarkEnd w:id="15"/>
    </w:p>
    <w:p w14:paraId="1E655359" w14:textId="11ED724E" w:rsidR="005874E7" w:rsidRDefault="00C056EF" w:rsidP="005874E7">
      <w:pPr>
        <w:rPr>
          <w:rFonts w:cs="Arial"/>
        </w:rPr>
      </w:pPr>
      <w:r>
        <w:rPr>
          <w:rFonts w:cs="Arial"/>
        </w:rPr>
        <w:t>From</w:t>
      </w:r>
      <w:r w:rsidRPr="00F47E6D">
        <w:rPr>
          <w:rFonts w:cs="Arial"/>
        </w:rPr>
        <w:t xml:space="preserve"> </w:t>
      </w:r>
      <w:r>
        <w:rPr>
          <w:rFonts w:cs="Arial"/>
        </w:rPr>
        <w:t>the period of 1 January 2017 to 31</w:t>
      </w:r>
      <w:r w:rsidRPr="00F47E6D">
        <w:rPr>
          <w:rFonts w:cs="Arial"/>
        </w:rPr>
        <w:t xml:space="preserve"> December 201</w:t>
      </w:r>
      <w:r>
        <w:rPr>
          <w:rFonts w:cs="Arial"/>
        </w:rPr>
        <w:t>7,</w:t>
      </w:r>
      <w:r w:rsidR="005874E7">
        <w:rPr>
          <w:rFonts w:cs="Arial"/>
        </w:rPr>
        <w:t xml:space="preserve"> the Office received </w:t>
      </w:r>
      <w:r>
        <w:rPr>
          <w:rFonts w:cs="Arial"/>
        </w:rPr>
        <w:t>11</w:t>
      </w:r>
      <w:r w:rsidR="005874E7">
        <w:rPr>
          <w:rFonts w:cs="Arial"/>
        </w:rPr>
        <w:t xml:space="preserve"> complaints in relation to </w:t>
      </w:r>
      <w:r>
        <w:rPr>
          <w:rFonts w:cs="Arial"/>
        </w:rPr>
        <w:t>five</w:t>
      </w:r>
      <w:r w:rsidR="005874E7">
        <w:rPr>
          <w:rFonts w:cs="Arial"/>
        </w:rPr>
        <w:t xml:space="preserve"> operating wind farms. As at </w:t>
      </w:r>
      <w:r>
        <w:rPr>
          <w:rFonts w:cs="Arial"/>
        </w:rPr>
        <w:t>31</w:t>
      </w:r>
      <w:r w:rsidRPr="00F47E6D">
        <w:rPr>
          <w:rFonts w:cs="Arial"/>
        </w:rPr>
        <w:t xml:space="preserve"> December 201</w:t>
      </w:r>
      <w:r>
        <w:rPr>
          <w:rFonts w:cs="Arial"/>
        </w:rPr>
        <w:t>7</w:t>
      </w:r>
      <w:r w:rsidR="005874E7">
        <w:rPr>
          <w:rFonts w:cs="Arial"/>
        </w:rPr>
        <w:t xml:space="preserve">, </w:t>
      </w:r>
      <w:r>
        <w:rPr>
          <w:rFonts w:cs="Arial"/>
        </w:rPr>
        <w:t>eight</w:t>
      </w:r>
      <w:r w:rsidR="005874E7" w:rsidRPr="00DF1399">
        <w:rPr>
          <w:rFonts w:cs="Arial"/>
        </w:rPr>
        <w:t xml:space="preserve"> of</w:t>
      </w:r>
      <w:r w:rsidR="005874E7">
        <w:rPr>
          <w:rFonts w:cs="Arial"/>
        </w:rPr>
        <w:t xml:space="preserve"> these complaints were recorded as closed. Figure</w:t>
      </w:r>
      <w:r w:rsidR="002B21E5">
        <w:rPr>
          <w:rFonts w:cs="Arial"/>
        </w:rPr>
        <w:t>s</w:t>
      </w:r>
      <w:r w:rsidR="005874E7">
        <w:rPr>
          <w:rFonts w:cs="Arial"/>
        </w:rPr>
        <w:t xml:space="preserve"> 2</w:t>
      </w:r>
      <w:r w:rsidR="002B21E5">
        <w:rPr>
          <w:rFonts w:cs="Arial"/>
        </w:rPr>
        <w:t xml:space="preserve"> and 3</w:t>
      </w:r>
      <w:r w:rsidR="005874E7">
        <w:rPr>
          <w:rFonts w:cs="Arial"/>
        </w:rPr>
        <w:t xml:space="preserve"> below</w:t>
      </w:r>
      <w:r w:rsidR="005874E7" w:rsidRPr="00F47E6D">
        <w:rPr>
          <w:rFonts w:cs="Arial"/>
        </w:rPr>
        <w:t xml:space="preserve"> provides information on the location of all complaints</w:t>
      </w:r>
      <w:r w:rsidR="005874E7">
        <w:rPr>
          <w:rFonts w:cs="Arial"/>
        </w:rPr>
        <w:t xml:space="preserve"> relating to operating wind farms</w:t>
      </w:r>
      <w:r w:rsidR="005874E7" w:rsidRPr="00F47E6D">
        <w:rPr>
          <w:rFonts w:cs="Arial"/>
        </w:rPr>
        <w:t xml:space="preserve"> </w:t>
      </w:r>
      <w:r w:rsidR="004C5A7B">
        <w:rPr>
          <w:rFonts w:cs="Arial"/>
        </w:rPr>
        <w:t>from</w:t>
      </w:r>
      <w:r w:rsidR="004C5A7B" w:rsidRPr="00F47E6D">
        <w:rPr>
          <w:rFonts w:cs="Arial"/>
        </w:rPr>
        <w:t xml:space="preserve"> </w:t>
      </w:r>
      <w:r w:rsidR="004C5A7B">
        <w:rPr>
          <w:rFonts w:cs="Arial"/>
        </w:rPr>
        <w:t xml:space="preserve">the period of 1 January 2017 to </w:t>
      </w:r>
      <w:r w:rsidR="005874E7">
        <w:rPr>
          <w:rFonts w:cs="Arial"/>
        </w:rPr>
        <w:t>31</w:t>
      </w:r>
      <w:r>
        <w:rPr>
          <w:rFonts w:cs="Arial"/>
        </w:rPr>
        <w:t> </w:t>
      </w:r>
      <w:r w:rsidR="005874E7" w:rsidRPr="00F47E6D">
        <w:rPr>
          <w:rFonts w:cs="Arial"/>
        </w:rPr>
        <w:t>December 201</w:t>
      </w:r>
      <w:r>
        <w:rPr>
          <w:rFonts w:cs="Arial"/>
        </w:rPr>
        <w:t>7</w:t>
      </w:r>
      <w:r w:rsidR="002B21E5">
        <w:rPr>
          <w:rFonts w:cs="Arial"/>
        </w:rPr>
        <w:t xml:space="preserve"> – note that c</w:t>
      </w:r>
      <w:r w:rsidR="001071DF">
        <w:rPr>
          <w:rFonts w:cs="Arial"/>
        </w:rPr>
        <w:t>omplaints were also received about these five wind farms in 2016.</w:t>
      </w:r>
      <w:r w:rsidR="002B21E5">
        <w:rPr>
          <w:rFonts w:cs="Arial"/>
        </w:rPr>
        <w:t xml:space="preserve"> Figures 4 and 5 provide data on </w:t>
      </w:r>
      <w:r w:rsidR="00CE34A1" w:rsidRPr="00F47E6D">
        <w:rPr>
          <w:rFonts w:cs="Arial"/>
        </w:rPr>
        <w:t>location of all complaints</w:t>
      </w:r>
      <w:r w:rsidR="00CE34A1">
        <w:rPr>
          <w:rFonts w:cs="Arial"/>
        </w:rPr>
        <w:t xml:space="preserve"> relating to </w:t>
      </w:r>
      <w:r w:rsidR="002B21E5">
        <w:rPr>
          <w:rFonts w:cs="Arial"/>
        </w:rPr>
        <w:t>operating wind farms from the period of the Office’s inception up until 31 December 2017.</w:t>
      </w:r>
    </w:p>
    <w:p w14:paraId="35B4E01E" w14:textId="26DC34F5" w:rsidR="00210C22" w:rsidRDefault="00210C22" w:rsidP="005874E7">
      <w:pPr>
        <w:rPr>
          <w:rFonts w:cs="Arial"/>
        </w:rPr>
      </w:pPr>
      <w:r>
        <w:rPr>
          <w:rFonts w:cs="Arial"/>
          <w:noProof/>
          <w:lang w:eastAsia="en-AU"/>
        </w:rPr>
        <w:drawing>
          <wp:inline distT="0" distB="0" distL="0" distR="0" wp14:anchorId="68E86ACD" wp14:editId="4ED05FD0">
            <wp:extent cx="6645910" cy="3657600"/>
            <wp:effectExtent l="38100" t="38100" r="97790" b="952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03B3947" w14:textId="14D0F573" w:rsidR="005874E7" w:rsidRDefault="00210C22" w:rsidP="005874E7">
      <w:r>
        <w:rPr>
          <w:rFonts w:cs="Arial"/>
          <w:noProof/>
          <w:lang w:eastAsia="en-AU"/>
        </w:rPr>
        <w:drawing>
          <wp:inline distT="0" distB="0" distL="0" distR="0" wp14:anchorId="2F64EC22" wp14:editId="3DD27690">
            <wp:extent cx="6645910" cy="3657600"/>
            <wp:effectExtent l="38100" t="38100" r="97790" b="952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B111841" w14:textId="380138FF" w:rsidR="005874E7" w:rsidRDefault="003B4A65" w:rsidP="005874E7">
      <w:pPr>
        <w:spacing w:after="0" w:line="240" w:lineRule="auto"/>
      </w:pPr>
      <w:r>
        <w:rPr>
          <w:rFonts w:cs="Arial"/>
          <w:noProof/>
          <w:lang w:eastAsia="en-AU"/>
        </w:rPr>
        <w:lastRenderedPageBreak/>
        <w:drawing>
          <wp:inline distT="0" distB="0" distL="0" distR="0" wp14:anchorId="21F46F4C" wp14:editId="5974FAE2">
            <wp:extent cx="6645910" cy="3657600"/>
            <wp:effectExtent l="38100" t="38100" r="97790" b="952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A7B3E4A" w14:textId="77777777" w:rsidR="00DD4ADB" w:rsidRDefault="00DD4ADB" w:rsidP="005874E7">
      <w:pPr>
        <w:spacing w:after="0" w:line="240" w:lineRule="auto"/>
      </w:pPr>
    </w:p>
    <w:p w14:paraId="06A5E0AF" w14:textId="737AF42A" w:rsidR="00F017AE" w:rsidRDefault="003B4A65" w:rsidP="005874E7">
      <w:pPr>
        <w:spacing w:after="0" w:line="240" w:lineRule="auto"/>
      </w:pPr>
      <w:r>
        <w:rPr>
          <w:rFonts w:cs="Arial"/>
          <w:noProof/>
          <w:lang w:eastAsia="en-AU"/>
        </w:rPr>
        <w:drawing>
          <wp:inline distT="0" distB="0" distL="0" distR="0" wp14:anchorId="4EF5F228" wp14:editId="712B1A82">
            <wp:extent cx="6645910" cy="3657600"/>
            <wp:effectExtent l="38100" t="38100" r="97790" b="952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245FE8B" w14:textId="792D1744" w:rsidR="00DD4ADB" w:rsidRPr="00971183" w:rsidRDefault="00DD4ADB" w:rsidP="005874E7">
      <w:pPr>
        <w:spacing w:after="0" w:line="240" w:lineRule="auto"/>
      </w:pPr>
    </w:p>
    <w:p w14:paraId="09DC700D" w14:textId="343C6DC1" w:rsidR="005874E7" w:rsidRDefault="005874E7" w:rsidP="005874E7">
      <w:pPr>
        <w:pStyle w:val="Heading2"/>
      </w:pPr>
      <w:bookmarkStart w:id="16" w:name="_Toc511140610"/>
      <w:r>
        <w:t>Proposed Wind Farms</w:t>
      </w:r>
      <w:r w:rsidR="007C1755">
        <w:t xml:space="preserve"> – Complaints in 2017</w:t>
      </w:r>
      <w:bookmarkEnd w:id="16"/>
    </w:p>
    <w:p w14:paraId="68C34EB4" w14:textId="339541FC" w:rsidR="005874E7" w:rsidRDefault="00C056EF" w:rsidP="00A7772E">
      <w:pPr>
        <w:spacing w:line="264" w:lineRule="auto"/>
        <w:rPr>
          <w:rFonts w:cs="Arial"/>
        </w:rPr>
      </w:pPr>
      <w:r>
        <w:rPr>
          <w:rFonts w:cs="Arial"/>
        </w:rPr>
        <w:t>From</w:t>
      </w:r>
      <w:r w:rsidRPr="00F47E6D">
        <w:rPr>
          <w:rFonts w:cs="Arial"/>
        </w:rPr>
        <w:t xml:space="preserve"> </w:t>
      </w:r>
      <w:r>
        <w:rPr>
          <w:rFonts w:cs="Arial"/>
        </w:rPr>
        <w:t>the period of 1 January 2017 to 31</w:t>
      </w:r>
      <w:r w:rsidRPr="00F47E6D">
        <w:rPr>
          <w:rFonts w:cs="Arial"/>
        </w:rPr>
        <w:t xml:space="preserve"> December 201</w:t>
      </w:r>
      <w:r>
        <w:rPr>
          <w:rFonts w:cs="Arial"/>
        </w:rPr>
        <w:t>7</w:t>
      </w:r>
      <w:r w:rsidR="005874E7">
        <w:rPr>
          <w:rFonts w:cs="Arial"/>
        </w:rPr>
        <w:t xml:space="preserve">, the Office received </w:t>
      </w:r>
      <w:r>
        <w:rPr>
          <w:rFonts w:cs="Arial"/>
        </w:rPr>
        <w:t>54 complaints in relation to 20</w:t>
      </w:r>
      <w:r w:rsidR="005874E7">
        <w:rPr>
          <w:rFonts w:cs="Arial"/>
        </w:rPr>
        <w:t xml:space="preserve"> proposed wind farms. As at</w:t>
      </w:r>
      <w:r w:rsidR="005874E7" w:rsidRPr="00F47E6D">
        <w:rPr>
          <w:rFonts w:cs="Arial"/>
        </w:rPr>
        <w:t xml:space="preserve"> </w:t>
      </w:r>
      <w:r w:rsidR="005874E7">
        <w:rPr>
          <w:rFonts w:cs="Arial"/>
        </w:rPr>
        <w:t>31 </w:t>
      </w:r>
      <w:r w:rsidR="005874E7" w:rsidRPr="00F47E6D">
        <w:rPr>
          <w:rFonts w:cs="Arial"/>
        </w:rPr>
        <w:t>December 201</w:t>
      </w:r>
      <w:r>
        <w:rPr>
          <w:rFonts w:cs="Arial"/>
        </w:rPr>
        <w:t>7</w:t>
      </w:r>
      <w:r w:rsidR="005874E7">
        <w:rPr>
          <w:rFonts w:cs="Arial"/>
        </w:rPr>
        <w:t xml:space="preserve">, </w:t>
      </w:r>
      <w:r>
        <w:rPr>
          <w:rFonts w:cs="Arial"/>
        </w:rPr>
        <w:t>42</w:t>
      </w:r>
      <w:r w:rsidR="005874E7" w:rsidRPr="00DF1399">
        <w:rPr>
          <w:rFonts w:cs="Arial"/>
        </w:rPr>
        <w:t xml:space="preserve"> of</w:t>
      </w:r>
      <w:r w:rsidR="005874E7">
        <w:rPr>
          <w:rFonts w:cs="Arial"/>
        </w:rPr>
        <w:t xml:space="preserve"> these complaints </w:t>
      </w:r>
      <w:r>
        <w:rPr>
          <w:rFonts w:cs="Arial"/>
        </w:rPr>
        <w:t>were recorded as closed. Figure</w:t>
      </w:r>
      <w:r w:rsidR="004C5A7B">
        <w:rPr>
          <w:rFonts w:cs="Arial"/>
        </w:rPr>
        <w:t>s</w:t>
      </w:r>
      <w:r>
        <w:rPr>
          <w:rFonts w:cs="Arial"/>
        </w:rPr>
        <w:t> </w:t>
      </w:r>
      <w:r w:rsidR="004C5A7B">
        <w:rPr>
          <w:rFonts w:cs="Arial"/>
        </w:rPr>
        <w:t xml:space="preserve">6 and 7 </w:t>
      </w:r>
      <w:r w:rsidR="005874E7">
        <w:rPr>
          <w:rFonts w:cs="Arial"/>
        </w:rPr>
        <w:t>below</w:t>
      </w:r>
      <w:r w:rsidR="005874E7" w:rsidRPr="00F47E6D">
        <w:rPr>
          <w:rFonts w:cs="Arial"/>
        </w:rPr>
        <w:t xml:space="preserve"> provides information on the location of all complaints</w:t>
      </w:r>
      <w:r w:rsidR="005874E7">
        <w:rPr>
          <w:rFonts w:cs="Arial"/>
        </w:rPr>
        <w:t xml:space="preserve"> relating to proposed wind farms</w:t>
      </w:r>
      <w:r w:rsidR="005874E7" w:rsidRPr="00F47E6D">
        <w:rPr>
          <w:rFonts w:cs="Arial"/>
        </w:rPr>
        <w:t xml:space="preserve"> </w:t>
      </w:r>
      <w:r w:rsidR="004C5A7B">
        <w:rPr>
          <w:rFonts w:cs="Arial"/>
        </w:rPr>
        <w:t>from</w:t>
      </w:r>
      <w:r w:rsidR="004C5A7B" w:rsidRPr="00F47E6D">
        <w:rPr>
          <w:rFonts w:cs="Arial"/>
        </w:rPr>
        <w:t xml:space="preserve"> </w:t>
      </w:r>
      <w:r w:rsidR="004C5A7B">
        <w:rPr>
          <w:rFonts w:cs="Arial"/>
        </w:rPr>
        <w:t>the period 1 January 2017 to</w:t>
      </w:r>
      <w:r w:rsidR="005874E7">
        <w:rPr>
          <w:rFonts w:cs="Arial"/>
        </w:rPr>
        <w:t xml:space="preserve"> 31</w:t>
      </w:r>
      <w:r w:rsidR="005874E7" w:rsidRPr="00F47E6D">
        <w:rPr>
          <w:rFonts w:cs="Arial"/>
        </w:rPr>
        <w:t xml:space="preserve"> December 201</w:t>
      </w:r>
      <w:r>
        <w:rPr>
          <w:rFonts w:cs="Arial"/>
        </w:rPr>
        <w:t>7</w:t>
      </w:r>
      <w:r w:rsidR="005874E7">
        <w:rPr>
          <w:rFonts w:cs="Arial"/>
        </w:rPr>
        <w:t>.</w:t>
      </w:r>
      <w:r w:rsidR="004C5A7B">
        <w:rPr>
          <w:rFonts w:cs="Arial"/>
        </w:rPr>
        <w:t xml:space="preserve"> Figures 8 and 9 provide data on </w:t>
      </w:r>
      <w:r w:rsidR="004C5A7B" w:rsidRPr="00F47E6D">
        <w:rPr>
          <w:rFonts w:cs="Arial"/>
        </w:rPr>
        <w:t>location of all complaints</w:t>
      </w:r>
      <w:r w:rsidR="004C5A7B">
        <w:rPr>
          <w:rFonts w:cs="Arial"/>
        </w:rPr>
        <w:t xml:space="preserve"> relating to proposed wind farms from the period of the Office’s inception up until 31 December 2017.</w:t>
      </w:r>
    </w:p>
    <w:p w14:paraId="27AF4122" w14:textId="77777777" w:rsidR="005874E7" w:rsidRPr="00A85E61" w:rsidRDefault="005874E7" w:rsidP="005874E7">
      <w:r>
        <w:rPr>
          <w:rFonts w:cs="Arial"/>
          <w:noProof/>
          <w:lang w:eastAsia="en-AU"/>
        </w:rPr>
        <w:lastRenderedPageBreak/>
        <w:drawing>
          <wp:inline distT="0" distB="0" distL="0" distR="0" wp14:anchorId="3BF82509" wp14:editId="35A5A895">
            <wp:extent cx="6645910" cy="3657600"/>
            <wp:effectExtent l="38100" t="38100" r="97790" b="952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004F65F" w14:textId="0210EEB5" w:rsidR="005E01FD" w:rsidRDefault="008B6522" w:rsidP="008B6522">
      <w:r>
        <w:rPr>
          <w:rFonts w:cs="Arial"/>
          <w:noProof/>
          <w:lang w:eastAsia="en-AU"/>
        </w:rPr>
        <w:drawing>
          <wp:inline distT="0" distB="0" distL="0" distR="0" wp14:anchorId="2402AC7A" wp14:editId="5534F573">
            <wp:extent cx="6645910" cy="3657600"/>
            <wp:effectExtent l="38100" t="38100" r="97790" b="952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EA248DA" w14:textId="18759C75" w:rsidR="005E01FD" w:rsidRDefault="005E01FD" w:rsidP="005E01FD"/>
    <w:p w14:paraId="72FFF457" w14:textId="77777777" w:rsidR="008B6522" w:rsidRPr="005E01FD" w:rsidRDefault="008B6522" w:rsidP="005E01FD">
      <w:pPr>
        <w:jc w:val="center"/>
      </w:pPr>
    </w:p>
    <w:p w14:paraId="07AE3FC0" w14:textId="42D0601F" w:rsidR="008B6522" w:rsidRDefault="008B6522" w:rsidP="008B6522">
      <w:r>
        <w:rPr>
          <w:rFonts w:cs="Arial"/>
          <w:noProof/>
          <w:lang w:eastAsia="en-AU"/>
        </w:rPr>
        <w:lastRenderedPageBreak/>
        <w:drawing>
          <wp:inline distT="0" distB="0" distL="0" distR="0" wp14:anchorId="4F046804" wp14:editId="59146FFC">
            <wp:extent cx="6645910" cy="3657600"/>
            <wp:effectExtent l="38100" t="38100" r="97790" b="952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434E618" w14:textId="4F3C0F7B" w:rsidR="008B6522" w:rsidRDefault="009A0878" w:rsidP="008B6522">
      <w:r>
        <w:rPr>
          <w:rFonts w:cs="Arial"/>
          <w:noProof/>
          <w:lang w:eastAsia="en-AU"/>
        </w:rPr>
        <w:drawing>
          <wp:inline distT="0" distB="0" distL="0" distR="0" wp14:anchorId="0B65D29C" wp14:editId="57E96D92">
            <wp:extent cx="6645910" cy="3657600"/>
            <wp:effectExtent l="38100" t="38100" r="97790" b="952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96284DB" w14:textId="0D4B48B4" w:rsidR="005874E7" w:rsidRPr="00F47E6D" w:rsidRDefault="005874E7" w:rsidP="005874E7">
      <w:pPr>
        <w:pStyle w:val="Heading2"/>
      </w:pPr>
      <w:bookmarkStart w:id="17" w:name="_Toc511140611"/>
      <w:r w:rsidRPr="00F47E6D">
        <w:t>Issues Raised</w:t>
      </w:r>
      <w:r w:rsidR="007C1755">
        <w:t xml:space="preserve"> in 2017</w:t>
      </w:r>
      <w:bookmarkEnd w:id="17"/>
    </w:p>
    <w:p w14:paraId="238F6E52" w14:textId="77777777" w:rsidR="005874E7" w:rsidRPr="00F47E6D" w:rsidRDefault="005874E7" w:rsidP="005874E7">
      <w:pPr>
        <w:rPr>
          <w:rFonts w:cs="Arial"/>
        </w:rPr>
      </w:pPr>
      <w:r>
        <w:rPr>
          <w:rFonts w:cs="Arial"/>
        </w:rPr>
        <w:t>C</w:t>
      </w:r>
      <w:r w:rsidRPr="003B1911">
        <w:rPr>
          <w:rFonts w:cs="Arial"/>
        </w:rPr>
        <w:t xml:space="preserve">omplaints </w:t>
      </w:r>
      <w:r>
        <w:rPr>
          <w:rFonts w:cs="Arial"/>
        </w:rPr>
        <w:t>made to the Office may be for a number</w:t>
      </w:r>
      <w:r w:rsidRPr="003B1911">
        <w:rPr>
          <w:rFonts w:cs="Arial"/>
        </w:rPr>
        <w:t xml:space="preserve"> of issues</w:t>
      </w:r>
      <w:r>
        <w:rPr>
          <w:rFonts w:cs="Arial"/>
        </w:rPr>
        <w:t xml:space="preserve"> including</w:t>
      </w:r>
      <w:r w:rsidRPr="003B1911">
        <w:rPr>
          <w:rFonts w:cs="Arial"/>
        </w:rPr>
        <w:t xml:space="preserve"> noise</w:t>
      </w:r>
      <w:r>
        <w:rPr>
          <w:rFonts w:cs="Arial"/>
        </w:rPr>
        <w:t xml:space="preserve">, </w:t>
      </w:r>
      <w:r w:rsidRPr="003B1911">
        <w:rPr>
          <w:rFonts w:cs="Arial"/>
        </w:rPr>
        <w:t xml:space="preserve">economic loss </w:t>
      </w:r>
      <w:r>
        <w:rPr>
          <w:rFonts w:cs="Arial"/>
        </w:rPr>
        <w:t>and</w:t>
      </w:r>
      <w:r w:rsidRPr="003B1911">
        <w:rPr>
          <w:rFonts w:cs="Arial"/>
        </w:rPr>
        <w:t xml:space="preserve"> visual impact. </w:t>
      </w:r>
      <w:r>
        <w:rPr>
          <w:rFonts w:cs="Arial"/>
        </w:rPr>
        <w:t>The most common complaint issues</w:t>
      </w:r>
      <w:r w:rsidRPr="003B1911">
        <w:rPr>
          <w:rFonts w:cs="Arial"/>
        </w:rPr>
        <w:t xml:space="preserve"> raised </w:t>
      </w:r>
      <w:r>
        <w:rPr>
          <w:rFonts w:cs="Arial"/>
        </w:rPr>
        <w:t>in relation to wind farms are related to noise from turbines and health impacts</w:t>
      </w:r>
      <w:r w:rsidRPr="003B1911">
        <w:rPr>
          <w:rFonts w:cs="Arial"/>
        </w:rPr>
        <w:t>.</w:t>
      </w:r>
    </w:p>
    <w:p w14:paraId="5088126F" w14:textId="6CEA86D2" w:rsidR="005874E7" w:rsidRDefault="005874E7" w:rsidP="005874E7">
      <w:pPr>
        <w:rPr>
          <w:rFonts w:cs="Arial"/>
        </w:rPr>
      </w:pPr>
      <w:r w:rsidRPr="00F47E6D">
        <w:rPr>
          <w:rFonts w:cs="Arial"/>
        </w:rPr>
        <w:t xml:space="preserve">The Office records complaint issues </w:t>
      </w:r>
      <w:r>
        <w:rPr>
          <w:rFonts w:cs="Arial"/>
        </w:rPr>
        <w:t>raised by the complainant when contacting our Office</w:t>
      </w:r>
      <w:r w:rsidRPr="00F47E6D">
        <w:rPr>
          <w:rFonts w:cs="Arial"/>
        </w:rPr>
        <w:t xml:space="preserve">. </w:t>
      </w:r>
      <w:r>
        <w:rPr>
          <w:rFonts w:cs="Arial"/>
        </w:rPr>
        <w:t xml:space="preserve">Figure </w:t>
      </w:r>
      <w:r w:rsidR="00222F6A">
        <w:rPr>
          <w:rFonts w:cs="Arial"/>
        </w:rPr>
        <w:t xml:space="preserve">10, </w:t>
      </w:r>
      <w:r>
        <w:rPr>
          <w:rFonts w:cs="Arial"/>
        </w:rPr>
        <w:t>below</w:t>
      </w:r>
      <w:r w:rsidR="00222F6A">
        <w:rPr>
          <w:rFonts w:cs="Arial"/>
        </w:rPr>
        <w:t>,</w:t>
      </w:r>
      <w:r w:rsidRPr="00F47E6D">
        <w:rPr>
          <w:rFonts w:cs="Arial"/>
        </w:rPr>
        <w:t xml:space="preserve"> indicates the </w:t>
      </w:r>
      <w:r w:rsidR="00222F6A">
        <w:rPr>
          <w:rFonts w:cs="Arial"/>
        </w:rPr>
        <w:t xml:space="preserve">type of </w:t>
      </w:r>
      <w:r w:rsidRPr="00F47E6D">
        <w:rPr>
          <w:rFonts w:cs="Arial"/>
        </w:rPr>
        <w:t>complaint</w:t>
      </w:r>
      <w:r>
        <w:rPr>
          <w:rFonts w:cs="Arial"/>
        </w:rPr>
        <w:t xml:space="preserve"> issue</w:t>
      </w:r>
      <w:r w:rsidRPr="00F47E6D">
        <w:rPr>
          <w:rFonts w:cs="Arial"/>
        </w:rPr>
        <w:t xml:space="preserve"> and the number of times the issue has been raised by complainants </w:t>
      </w:r>
      <w:r>
        <w:rPr>
          <w:rFonts w:cs="Arial"/>
        </w:rPr>
        <w:t xml:space="preserve">for the </w:t>
      </w:r>
      <w:r w:rsidR="00A50CF4">
        <w:rPr>
          <w:rFonts w:cs="Arial"/>
        </w:rPr>
        <w:t>73</w:t>
      </w:r>
      <w:r>
        <w:rPr>
          <w:rFonts w:cs="Arial"/>
        </w:rPr>
        <w:t xml:space="preserve"> complaints received up </w:t>
      </w:r>
      <w:r w:rsidR="00A50CF4">
        <w:rPr>
          <w:rFonts w:cs="Arial"/>
        </w:rPr>
        <w:t>during the period from 1 January 2017 to 31</w:t>
      </w:r>
      <w:r w:rsidR="00A50CF4" w:rsidRPr="00F47E6D">
        <w:rPr>
          <w:rFonts w:cs="Arial"/>
        </w:rPr>
        <w:t xml:space="preserve"> December </w:t>
      </w:r>
      <w:r w:rsidR="00A50CF4" w:rsidRPr="00F47E6D">
        <w:rPr>
          <w:rFonts w:cs="Arial"/>
        </w:rPr>
        <w:lastRenderedPageBreak/>
        <w:t>201</w:t>
      </w:r>
      <w:r w:rsidR="00A50CF4">
        <w:rPr>
          <w:rFonts w:cs="Arial"/>
        </w:rPr>
        <w:t>7</w:t>
      </w:r>
      <w:r w:rsidRPr="00F47E6D">
        <w:rPr>
          <w:rFonts w:cs="Arial"/>
        </w:rPr>
        <w:t xml:space="preserve">. </w:t>
      </w:r>
      <w:r>
        <w:rPr>
          <w:rFonts w:cs="Arial"/>
        </w:rPr>
        <w:t>Note that c</w:t>
      </w:r>
      <w:r w:rsidRPr="00F47E6D">
        <w:rPr>
          <w:rFonts w:cs="Arial"/>
        </w:rPr>
        <w:t>omplain</w:t>
      </w:r>
      <w:r>
        <w:rPr>
          <w:rFonts w:cs="Arial"/>
        </w:rPr>
        <w:t xml:space="preserve">ants </w:t>
      </w:r>
      <w:r w:rsidRPr="00F47E6D">
        <w:rPr>
          <w:rFonts w:cs="Arial"/>
        </w:rPr>
        <w:t xml:space="preserve">may </w:t>
      </w:r>
      <w:r>
        <w:rPr>
          <w:rFonts w:cs="Arial"/>
        </w:rPr>
        <w:t>raise</w:t>
      </w:r>
      <w:r w:rsidRPr="00F47E6D">
        <w:rPr>
          <w:rFonts w:cs="Arial"/>
        </w:rPr>
        <w:t xml:space="preserve"> more than one issue</w:t>
      </w:r>
      <w:r>
        <w:rPr>
          <w:rFonts w:cs="Arial"/>
        </w:rPr>
        <w:t xml:space="preserve"> in their complaint</w:t>
      </w:r>
      <w:r w:rsidRPr="00F47E6D">
        <w:rPr>
          <w:rFonts w:cs="Arial"/>
        </w:rPr>
        <w:t>.</w:t>
      </w:r>
      <w:r w:rsidR="00E2278B">
        <w:rPr>
          <w:rFonts w:cs="Arial"/>
        </w:rPr>
        <w:t xml:space="preserve"> </w:t>
      </w:r>
      <w:r w:rsidR="00222F6A">
        <w:rPr>
          <w:rFonts w:cs="Arial"/>
        </w:rPr>
        <w:t xml:space="preserve">For comparison, </w:t>
      </w:r>
      <w:r w:rsidR="00E2278B">
        <w:rPr>
          <w:rFonts w:cs="Arial"/>
        </w:rPr>
        <w:t xml:space="preserve">Figure 10 below </w:t>
      </w:r>
      <w:r w:rsidR="00222F6A">
        <w:rPr>
          <w:rFonts w:cs="Arial"/>
        </w:rPr>
        <w:t xml:space="preserve">also </w:t>
      </w:r>
      <w:r w:rsidR="00E2278B">
        <w:rPr>
          <w:rFonts w:cs="Arial"/>
        </w:rPr>
        <w:t xml:space="preserve">provides data on the issues raised </w:t>
      </w:r>
      <w:r w:rsidR="00222F6A">
        <w:rPr>
          <w:rFonts w:cs="Arial"/>
        </w:rPr>
        <w:t>by com</w:t>
      </w:r>
      <w:r w:rsidR="00E2278B">
        <w:rPr>
          <w:rFonts w:cs="Arial"/>
        </w:rPr>
        <w:t xml:space="preserve">plainants </w:t>
      </w:r>
      <w:r w:rsidR="00222F6A">
        <w:rPr>
          <w:rFonts w:cs="Arial"/>
        </w:rPr>
        <w:t xml:space="preserve">for the 90 complaints received </w:t>
      </w:r>
      <w:r w:rsidR="00E2278B">
        <w:rPr>
          <w:rFonts w:cs="Arial"/>
        </w:rPr>
        <w:t xml:space="preserve">during the period from </w:t>
      </w:r>
      <w:r w:rsidR="00E2278B" w:rsidRPr="001A0125">
        <w:rPr>
          <w:rFonts w:cs="Arial"/>
        </w:rPr>
        <w:t>1 November</w:t>
      </w:r>
      <w:r w:rsidR="00E2278B" w:rsidRPr="009A0878">
        <w:rPr>
          <w:rFonts w:cs="Arial"/>
        </w:rPr>
        <w:t xml:space="preserve"> 2015 to </w:t>
      </w:r>
      <w:r w:rsidR="00E2278B">
        <w:rPr>
          <w:rFonts w:cs="Arial"/>
        </w:rPr>
        <w:t xml:space="preserve">31 </w:t>
      </w:r>
      <w:r w:rsidR="00E2278B" w:rsidRPr="009A0878">
        <w:rPr>
          <w:rFonts w:cs="Arial"/>
        </w:rPr>
        <w:t>December 2016</w:t>
      </w:r>
      <w:r w:rsidR="00E2278B">
        <w:rPr>
          <w:rFonts w:cs="Arial"/>
        </w:rPr>
        <w:t>.</w:t>
      </w:r>
    </w:p>
    <w:p w14:paraId="7553D3C7" w14:textId="77777777" w:rsidR="005874E7" w:rsidRPr="00F47E6D" w:rsidRDefault="005874E7" w:rsidP="005874E7">
      <w:pPr>
        <w:spacing w:after="0"/>
        <w:rPr>
          <w:rFonts w:cs="Arial"/>
          <w:i/>
        </w:rPr>
      </w:pPr>
      <w:r>
        <w:rPr>
          <w:rFonts w:cs="Arial"/>
          <w:i/>
          <w:noProof/>
          <w:lang w:eastAsia="en-AU"/>
        </w:rPr>
        <w:drawing>
          <wp:inline distT="0" distB="0" distL="0" distR="0" wp14:anchorId="6ED1F944" wp14:editId="705D5248">
            <wp:extent cx="6581775" cy="42100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2BF07048" w14:textId="77777777" w:rsidR="005874E7" w:rsidRDefault="005874E7" w:rsidP="00164765">
      <w:pPr>
        <w:spacing w:after="0"/>
        <w:rPr>
          <w:rFonts w:cs="Arial"/>
        </w:rPr>
      </w:pPr>
    </w:p>
    <w:p w14:paraId="6BE20DA4" w14:textId="7DF48E22" w:rsidR="00164765" w:rsidRPr="00F47E6D" w:rsidRDefault="009A0878" w:rsidP="005874E7">
      <w:pPr>
        <w:rPr>
          <w:rFonts w:cs="Arial"/>
        </w:rPr>
      </w:pPr>
      <w:r>
        <w:rPr>
          <w:rFonts w:cs="Arial"/>
        </w:rPr>
        <w:t>I</w:t>
      </w:r>
      <w:r w:rsidRPr="009A0878">
        <w:rPr>
          <w:rFonts w:cs="Arial"/>
        </w:rPr>
        <w:t xml:space="preserve">n comparing </w:t>
      </w:r>
      <w:r w:rsidR="00164765" w:rsidRPr="009A0878">
        <w:rPr>
          <w:rFonts w:cs="Arial"/>
        </w:rPr>
        <w:t xml:space="preserve">the issues raised </w:t>
      </w:r>
      <w:r>
        <w:rPr>
          <w:rFonts w:cs="Arial"/>
        </w:rPr>
        <w:t xml:space="preserve">in </w:t>
      </w:r>
      <w:r w:rsidR="00164765" w:rsidRPr="009A0878">
        <w:rPr>
          <w:rFonts w:cs="Arial"/>
        </w:rPr>
        <w:t xml:space="preserve">complaints </w:t>
      </w:r>
      <w:r>
        <w:rPr>
          <w:rFonts w:cs="Arial"/>
        </w:rPr>
        <w:t>during</w:t>
      </w:r>
      <w:r w:rsidR="00164765" w:rsidRPr="009A0878">
        <w:rPr>
          <w:rFonts w:cs="Arial"/>
        </w:rPr>
        <w:t xml:space="preserve"> 2017 </w:t>
      </w:r>
      <w:r>
        <w:rPr>
          <w:rFonts w:cs="Arial"/>
        </w:rPr>
        <w:t>to issues raised in</w:t>
      </w:r>
      <w:r w:rsidR="00164765" w:rsidRPr="009A0878">
        <w:rPr>
          <w:rFonts w:cs="Arial"/>
        </w:rPr>
        <w:t xml:space="preserve"> complaints received from November 2015 to December 2016 (as reported in the 2016 Annual Report), </w:t>
      </w:r>
      <w:r>
        <w:rPr>
          <w:rFonts w:cs="Arial"/>
        </w:rPr>
        <w:t xml:space="preserve">the Office notes </w:t>
      </w:r>
      <w:r w:rsidR="00164765" w:rsidRPr="009A0878">
        <w:rPr>
          <w:rFonts w:cs="Arial"/>
        </w:rPr>
        <w:t>there has been a reduction in all categories of complaint issues except amenity</w:t>
      </w:r>
      <w:r w:rsidR="000160E7">
        <w:rPr>
          <w:rFonts w:cs="Arial"/>
        </w:rPr>
        <w:t>, construction</w:t>
      </w:r>
      <w:r w:rsidR="00164765" w:rsidRPr="009A0878">
        <w:rPr>
          <w:rFonts w:cs="Arial"/>
        </w:rPr>
        <w:t xml:space="preserve"> and shadow flicker</w:t>
      </w:r>
      <w:r>
        <w:rPr>
          <w:rFonts w:cs="Arial"/>
        </w:rPr>
        <w:t xml:space="preserve"> issues</w:t>
      </w:r>
      <w:r w:rsidR="00164765" w:rsidRPr="009A0878">
        <w:rPr>
          <w:rFonts w:cs="Arial"/>
        </w:rPr>
        <w:t>.</w:t>
      </w:r>
    </w:p>
    <w:p w14:paraId="42103EB7" w14:textId="77777777" w:rsidR="005874E7" w:rsidRPr="00F47E6D" w:rsidRDefault="005874E7" w:rsidP="005874E7">
      <w:pPr>
        <w:pStyle w:val="Heading2"/>
      </w:pPr>
      <w:bookmarkStart w:id="18" w:name="_Toc511140612"/>
      <w:r w:rsidRPr="00F47E6D">
        <w:t>Resolutions</w:t>
      </w:r>
      <w:r>
        <w:t xml:space="preserve"> and Closure</w:t>
      </w:r>
      <w:bookmarkEnd w:id="18"/>
    </w:p>
    <w:p w14:paraId="1882DF1E" w14:textId="66C140F9" w:rsidR="00F6168A" w:rsidRDefault="00AE0E9E" w:rsidP="00E864BA">
      <w:pPr>
        <w:pStyle w:val="ListBullet"/>
        <w:numPr>
          <w:ilvl w:val="0"/>
          <w:numId w:val="0"/>
        </w:numPr>
        <w:rPr>
          <w:rFonts w:cs="Arial"/>
        </w:rPr>
      </w:pPr>
      <w:r>
        <w:rPr>
          <w:rFonts w:cs="Arial"/>
        </w:rPr>
        <w:t>F</w:t>
      </w:r>
      <w:r w:rsidR="001071DF">
        <w:rPr>
          <w:rFonts w:cs="Arial"/>
        </w:rPr>
        <w:t>or</w:t>
      </w:r>
      <w:r w:rsidRPr="00F47E6D">
        <w:rPr>
          <w:rFonts w:cs="Arial"/>
        </w:rPr>
        <w:t xml:space="preserve"> </w:t>
      </w:r>
      <w:r>
        <w:rPr>
          <w:rFonts w:cs="Arial"/>
        </w:rPr>
        <w:t>the period of 1 January 2017 to 31</w:t>
      </w:r>
      <w:r w:rsidRPr="00F47E6D">
        <w:rPr>
          <w:rFonts w:cs="Arial"/>
        </w:rPr>
        <w:t xml:space="preserve"> December 201</w:t>
      </w:r>
      <w:r>
        <w:rPr>
          <w:rFonts w:cs="Arial"/>
        </w:rPr>
        <w:t>7</w:t>
      </w:r>
      <w:r w:rsidR="005874E7" w:rsidRPr="00F47E6D">
        <w:rPr>
          <w:rFonts w:cs="Arial"/>
        </w:rPr>
        <w:t xml:space="preserve">, </w:t>
      </w:r>
      <w:r>
        <w:rPr>
          <w:rFonts w:cs="Arial"/>
        </w:rPr>
        <w:t>78</w:t>
      </w:r>
      <w:r w:rsidR="005874E7" w:rsidRPr="00F47E6D">
        <w:rPr>
          <w:rFonts w:cs="Arial"/>
        </w:rPr>
        <w:t xml:space="preserve"> </w:t>
      </w:r>
      <w:r w:rsidR="005874E7">
        <w:rPr>
          <w:rFonts w:cs="Arial"/>
        </w:rPr>
        <w:t>complaints</w:t>
      </w:r>
      <w:r w:rsidR="005874E7" w:rsidRPr="00F47E6D">
        <w:rPr>
          <w:rFonts w:cs="Arial"/>
        </w:rPr>
        <w:t xml:space="preserve"> </w:t>
      </w:r>
      <w:r>
        <w:rPr>
          <w:rFonts w:cs="Arial"/>
        </w:rPr>
        <w:t xml:space="preserve">were </w:t>
      </w:r>
      <w:r w:rsidR="00F6168A">
        <w:rPr>
          <w:rFonts w:cs="Arial"/>
        </w:rPr>
        <w:t xml:space="preserve">closed. </w:t>
      </w:r>
      <w:r w:rsidR="00A666B7">
        <w:rPr>
          <w:rFonts w:cs="Arial"/>
        </w:rPr>
        <w:t xml:space="preserve">Of these 78 </w:t>
      </w:r>
      <w:r w:rsidR="00222F6A">
        <w:rPr>
          <w:rFonts w:cs="Arial"/>
        </w:rPr>
        <w:t xml:space="preserve">closed </w:t>
      </w:r>
      <w:r w:rsidR="00A666B7">
        <w:rPr>
          <w:rFonts w:cs="Arial"/>
        </w:rPr>
        <w:t>complaints,</w:t>
      </w:r>
      <w:r w:rsidR="00F6168A">
        <w:rPr>
          <w:rFonts w:cs="Arial"/>
        </w:rPr>
        <w:t xml:space="preserve"> 20 </w:t>
      </w:r>
      <w:r w:rsidR="00222F6A">
        <w:rPr>
          <w:rFonts w:cs="Arial"/>
        </w:rPr>
        <w:t xml:space="preserve">of those </w:t>
      </w:r>
      <w:r w:rsidR="00A666B7">
        <w:rPr>
          <w:rFonts w:cs="Arial"/>
        </w:rPr>
        <w:t xml:space="preserve">complaints </w:t>
      </w:r>
      <w:r w:rsidR="00F6168A">
        <w:rPr>
          <w:rFonts w:cs="Arial"/>
        </w:rPr>
        <w:t xml:space="preserve">were </w:t>
      </w:r>
      <w:r w:rsidR="00222F6A">
        <w:rPr>
          <w:rFonts w:cs="Arial"/>
        </w:rPr>
        <w:t xml:space="preserve">lodged </w:t>
      </w:r>
      <w:r w:rsidR="00482A63">
        <w:rPr>
          <w:rFonts w:cs="Arial"/>
        </w:rPr>
        <w:t xml:space="preserve">with our Office </w:t>
      </w:r>
      <w:r w:rsidR="00A666B7">
        <w:rPr>
          <w:rFonts w:cs="Arial"/>
        </w:rPr>
        <w:t>prior to 1 January 2017.</w:t>
      </w:r>
    </w:p>
    <w:p w14:paraId="36DE3BDA" w14:textId="3FB3A65C" w:rsidR="00482A63" w:rsidRDefault="005874E7" w:rsidP="00E864BA">
      <w:pPr>
        <w:pStyle w:val="ListBullet"/>
        <w:numPr>
          <w:ilvl w:val="0"/>
          <w:numId w:val="0"/>
        </w:numPr>
        <w:rPr>
          <w:rFonts w:cs="Arial"/>
        </w:rPr>
      </w:pPr>
      <w:r>
        <w:rPr>
          <w:rFonts w:cs="Arial"/>
        </w:rPr>
        <w:t>There are a range of reasons that the Office may consider in closing a matter</w:t>
      </w:r>
      <w:r w:rsidR="00D44E57">
        <w:rPr>
          <w:rFonts w:cs="Arial"/>
        </w:rPr>
        <w:t>, as detailed</w:t>
      </w:r>
      <w:r>
        <w:rPr>
          <w:rFonts w:cs="Arial"/>
        </w:rPr>
        <w:t xml:space="preserve"> in </w:t>
      </w:r>
      <w:r w:rsidR="00482A63">
        <w:rPr>
          <w:rFonts w:cs="Arial"/>
        </w:rPr>
        <w:t>our</w:t>
      </w:r>
      <w:r>
        <w:rPr>
          <w:rFonts w:cs="Arial"/>
        </w:rPr>
        <w:t xml:space="preserve"> Complaints Handling Policy.</w:t>
      </w:r>
      <w:r w:rsidR="00AE0E9E" w:rsidRPr="00AE0E9E">
        <w:rPr>
          <w:rFonts w:cs="Arial"/>
        </w:rPr>
        <w:t xml:space="preserve"> </w:t>
      </w:r>
      <w:r w:rsidR="00AE0E9E">
        <w:rPr>
          <w:rFonts w:cs="Arial"/>
        </w:rPr>
        <w:t>Since the period of the Office’s inception to 31</w:t>
      </w:r>
      <w:r w:rsidR="00AE0E9E" w:rsidRPr="00F47E6D">
        <w:rPr>
          <w:rFonts w:cs="Arial"/>
        </w:rPr>
        <w:t xml:space="preserve"> December 201</w:t>
      </w:r>
      <w:r w:rsidR="00AE0E9E">
        <w:rPr>
          <w:rFonts w:cs="Arial"/>
        </w:rPr>
        <w:t>7, 145 of the 163 complaints received by the Office have been closed</w:t>
      </w:r>
      <w:r w:rsidR="00482A63">
        <w:rPr>
          <w:rFonts w:cs="Arial"/>
        </w:rPr>
        <w:t xml:space="preserve">. There were </w:t>
      </w:r>
      <w:r w:rsidR="00AE0E9E">
        <w:rPr>
          <w:rFonts w:cs="Arial"/>
        </w:rPr>
        <w:t xml:space="preserve">18 </w:t>
      </w:r>
      <w:r w:rsidR="00482A63">
        <w:rPr>
          <w:rFonts w:cs="Arial"/>
        </w:rPr>
        <w:t xml:space="preserve">open </w:t>
      </w:r>
      <w:r w:rsidR="00AE0E9E">
        <w:rPr>
          <w:rFonts w:cs="Arial"/>
        </w:rPr>
        <w:t xml:space="preserve">complaints </w:t>
      </w:r>
      <w:r w:rsidR="00222F6A">
        <w:rPr>
          <w:rFonts w:cs="Arial"/>
        </w:rPr>
        <w:t>as at 31 December 2017</w:t>
      </w:r>
      <w:r w:rsidR="00482A63">
        <w:rPr>
          <w:rFonts w:cs="Arial"/>
        </w:rPr>
        <w:t xml:space="preserve">. </w:t>
      </w:r>
    </w:p>
    <w:p w14:paraId="12440582" w14:textId="06AAE26E" w:rsidR="00132612" w:rsidRPr="00E2278B" w:rsidRDefault="00132612" w:rsidP="00E864BA">
      <w:pPr>
        <w:pStyle w:val="ListBullet"/>
        <w:numPr>
          <w:ilvl w:val="0"/>
          <w:numId w:val="0"/>
        </w:numPr>
      </w:pPr>
      <w:r>
        <w:t xml:space="preserve">Most matters </w:t>
      </w:r>
      <w:r w:rsidR="00164765">
        <w:t>are</w:t>
      </w:r>
      <w:r>
        <w:t xml:space="preserve"> resolved by the provision of factual information to the complainant, addressing the concerns raised</w:t>
      </w:r>
      <w:r w:rsidR="00164765">
        <w:t xml:space="preserve"> and/or connecting the complainant to the appropriate contacts at the respondent organisation</w:t>
      </w:r>
      <w:r w:rsidR="00E2278B">
        <w:t>.</w:t>
      </w:r>
    </w:p>
    <w:p w14:paraId="56940EE9" w14:textId="558263D2" w:rsidR="00132612" w:rsidRDefault="005874E7" w:rsidP="00E864BA">
      <w:pPr>
        <w:pStyle w:val="ListBullet"/>
        <w:numPr>
          <w:ilvl w:val="0"/>
          <w:numId w:val="0"/>
        </w:numPr>
        <w:rPr>
          <w:rFonts w:cs="Arial"/>
        </w:rPr>
      </w:pPr>
      <w:r>
        <w:rPr>
          <w:rFonts w:cs="Arial"/>
        </w:rPr>
        <w:t xml:space="preserve">Matters where the complainant did not progress the </w:t>
      </w:r>
      <w:r w:rsidR="00132612">
        <w:rPr>
          <w:rFonts w:cs="Arial"/>
        </w:rPr>
        <w:t>complaint</w:t>
      </w:r>
      <w:r>
        <w:rPr>
          <w:rFonts w:cs="Arial"/>
        </w:rPr>
        <w:t xml:space="preserve"> include </w:t>
      </w:r>
      <w:r w:rsidR="00164765">
        <w:rPr>
          <w:rFonts w:cs="Arial"/>
        </w:rPr>
        <w:t xml:space="preserve">the </w:t>
      </w:r>
      <w:r w:rsidR="00164765" w:rsidRPr="00F6168A">
        <w:rPr>
          <w:rFonts w:cs="Arial"/>
        </w:rPr>
        <w:t>complainant withdrawing the complaint, not providing</w:t>
      </w:r>
      <w:r w:rsidRPr="00F6168A">
        <w:rPr>
          <w:rFonts w:cs="Arial"/>
        </w:rPr>
        <w:t xml:space="preserve"> consent to share information wit</w:t>
      </w:r>
      <w:r w:rsidR="00164765" w:rsidRPr="00F6168A">
        <w:rPr>
          <w:rFonts w:cs="Arial"/>
        </w:rPr>
        <w:t>h other parties, not providing</w:t>
      </w:r>
      <w:r w:rsidRPr="00F6168A">
        <w:rPr>
          <w:rFonts w:cs="Arial"/>
        </w:rPr>
        <w:t xml:space="preserve"> sufficient information</w:t>
      </w:r>
      <w:r w:rsidR="00027BA3" w:rsidRPr="00F6168A">
        <w:rPr>
          <w:rFonts w:cs="Arial"/>
        </w:rPr>
        <w:t xml:space="preserve"> for the Commissioner to assess the merits of the complaint</w:t>
      </w:r>
      <w:r w:rsidRPr="00F6168A">
        <w:rPr>
          <w:rFonts w:cs="Arial"/>
        </w:rPr>
        <w:t xml:space="preserve"> or </w:t>
      </w:r>
      <w:r w:rsidR="00027BA3" w:rsidRPr="00F6168A">
        <w:rPr>
          <w:rFonts w:cs="Arial"/>
        </w:rPr>
        <w:t>refusing to meet, as reasonably requested, with the Commissioner and/or respondent to progress a resolution outcome</w:t>
      </w:r>
      <w:r>
        <w:rPr>
          <w:rFonts w:cs="Arial"/>
        </w:rPr>
        <w:t xml:space="preserve">. </w:t>
      </w:r>
    </w:p>
    <w:p w14:paraId="12CD4A25" w14:textId="7194C8DC" w:rsidR="005874E7" w:rsidRDefault="005874E7" w:rsidP="00E864BA">
      <w:pPr>
        <w:pStyle w:val="ListBullet"/>
        <w:numPr>
          <w:ilvl w:val="0"/>
          <w:numId w:val="0"/>
        </w:numPr>
        <w:rPr>
          <w:rFonts w:cs="Arial"/>
        </w:rPr>
      </w:pPr>
      <w:r>
        <w:rPr>
          <w:rFonts w:cs="Arial"/>
        </w:rPr>
        <w:t xml:space="preserve">Matters recorded as ‘other’ were situations in which </w:t>
      </w:r>
      <w:r w:rsidRPr="006C51EC">
        <w:rPr>
          <w:rFonts w:cs="Arial"/>
        </w:rPr>
        <w:t xml:space="preserve">further </w:t>
      </w:r>
      <w:r w:rsidR="003605D4">
        <w:rPr>
          <w:rFonts w:cs="Arial"/>
        </w:rPr>
        <w:t xml:space="preserve">efforts would be unlikely to result in a </w:t>
      </w:r>
      <w:r w:rsidR="00DD7FD4">
        <w:rPr>
          <w:rFonts w:cs="Arial"/>
        </w:rPr>
        <w:t>resolution</w:t>
      </w:r>
      <w:r w:rsidR="007D0073">
        <w:rPr>
          <w:rFonts w:cs="Arial"/>
        </w:rPr>
        <w:t>.</w:t>
      </w:r>
    </w:p>
    <w:p w14:paraId="67E2C106" w14:textId="7CF81D64" w:rsidR="00F6168A" w:rsidRDefault="00F6168A" w:rsidP="00F6168A">
      <w:pPr>
        <w:pStyle w:val="ListBullet"/>
        <w:numPr>
          <w:ilvl w:val="0"/>
          <w:numId w:val="0"/>
        </w:numPr>
      </w:pPr>
      <w:r>
        <w:lastRenderedPageBreak/>
        <w:t xml:space="preserve">Figure 11 below provides a summary of high level closure reasons for </w:t>
      </w:r>
      <w:r w:rsidR="003605D4">
        <w:t>matters</w:t>
      </w:r>
      <w:r>
        <w:t xml:space="preserve"> closed </w:t>
      </w:r>
      <w:r w:rsidR="0068567F">
        <w:t>in 2017</w:t>
      </w:r>
      <w:r>
        <w:t xml:space="preserve">. </w:t>
      </w:r>
      <w:r w:rsidR="0068567F">
        <w:t xml:space="preserve">Figure </w:t>
      </w:r>
      <w:r w:rsidR="003605D4">
        <w:t xml:space="preserve">12 </w:t>
      </w:r>
      <w:r w:rsidR="0068567F">
        <w:t xml:space="preserve">also provides a summary of high level closure reasons for all </w:t>
      </w:r>
      <w:r w:rsidR="003605D4">
        <w:t xml:space="preserve">matters </w:t>
      </w:r>
      <w:r w:rsidR="0068567F">
        <w:t xml:space="preserve">closed </w:t>
      </w:r>
      <w:r w:rsidR="0068567F">
        <w:rPr>
          <w:rFonts w:cs="Arial"/>
        </w:rPr>
        <w:t>from the period of the Office’s inception up until 31 December 2017.</w:t>
      </w:r>
    </w:p>
    <w:p w14:paraId="2E658E17" w14:textId="44817474" w:rsidR="005874E7" w:rsidRDefault="005874E7" w:rsidP="005874E7">
      <w:r>
        <w:rPr>
          <w:noProof/>
          <w:lang w:eastAsia="en-AU"/>
        </w:rPr>
        <w:drawing>
          <wp:inline distT="0" distB="0" distL="0" distR="0" wp14:anchorId="2DA7DE11" wp14:editId="2B28B65F">
            <wp:extent cx="6372225" cy="4010025"/>
            <wp:effectExtent l="38100" t="38100" r="85725" b="857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908C2A7" w14:textId="7EA2C839" w:rsidR="005874E7" w:rsidRPr="00007B65" w:rsidRDefault="0068567F" w:rsidP="005874E7">
      <w:pPr>
        <w:rPr>
          <w:lang w:eastAsia="en-AU"/>
        </w:rPr>
        <w:sectPr w:rsidR="005874E7" w:rsidRPr="00007B65" w:rsidSect="00C90C75">
          <w:headerReference w:type="even" r:id="rId42"/>
          <w:headerReference w:type="default" r:id="rId43"/>
          <w:headerReference w:type="first" r:id="rId44"/>
          <w:pgSz w:w="11906" w:h="16838" w:code="9"/>
          <w:pgMar w:top="720" w:right="720" w:bottom="720" w:left="720" w:header="425" w:footer="425" w:gutter="0"/>
          <w:cols w:space="708"/>
          <w:docGrid w:linePitch="360"/>
        </w:sectPr>
      </w:pPr>
      <w:r>
        <w:rPr>
          <w:noProof/>
          <w:lang w:eastAsia="en-AU"/>
        </w:rPr>
        <w:drawing>
          <wp:inline distT="0" distB="0" distL="0" distR="0" wp14:anchorId="45E83D40" wp14:editId="4F853650">
            <wp:extent cx="6391275" cy="3876675"/>
            <wp:effectExtent l="38100" t="38100" r="85725" b="857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1536813" w14:textId="77777777" w:rsidR="00785FA8" w:rsidRDefault="00785FA8">
      <w:pPr>
        <w:rPr>
          <w:rFonts w:cs="Arial"/>
          <w:b/>
          <w:caps/>
        </w:rPr>
      </w:pPr>
      <w:r>
        <w:br w:type="page"/>
      </w:r>
    </w:p>
    <w:p w14:paraId="0982F042" w14:textId="0C144979" w:rsidR="00E823F0" w:rsidRDefault="005874E7" w:rsidP="00E823F0">
      <w:pPr>
        <w:pStyle w:val="Heading1"/>
      </w:pPr>
      <w:bookmarkStart w:id="19" w:name="_Toc511140613"/>
      <w:r w:rsidRPr="00F47E6D">
        <w:lastRenderedPageBreak/>
        <w:t>Stakeholder Engagement</w:t>
      </w:r>
      <w:bookmarkEnd w:id="19"/>
    </w:p>
    <w:p w14:paraId="13D5E74E" w14:textId="0FD4DE77" w:rsidR="00B956B7" w:rsidRDefault="00B956B7" w:rsidP="00B956B7">
      <w:pPr>
        <w:rPr>
          <w:rFonts w:cs="Arial"/>
        </w:rPr>
      </w:pPr>
      <w:r w:rsidRPr="00B956B7">
        <w:rPr>
          <w:rFonts w:cs="Arial"/>
        </w:rPr>
        <w:t>Stakeholder engagement continues to be a key</w:t>
      </w:r>
      <w:r>
        <w:rPr>
          <w:rFonts w:cs="Arial"/>
        </w:rPr>
        <w:t xml:space="preserve"> priority for the Commissioner.</w:t>
      </w:r>
      <w:r w:rsidRPr="00B956B7">
        <w:rPr>
          <w:rFonts w:cs="Arial"/>
        </w:rPr>
        <w:t xml:space="preserve"> </w:t>
      </w:r>
      <w:r>
        <w:rPr>
          <w:rFonts w:cs="Arial"/>
        </w:rPr>
        <w:t>As at</w:t>
      </w:r>
      <w:r w:rsidRPr="00F47E6D">
        <w:rPr>
          <w:rFonts w:cs="Arial"/>
        </w:rPr>
        <w:t xml:space="preserve"> </w:t>
      </w:r>
      <w:r>
        <w:rPr>
          <w:rFonts w:cs="Arial"/>
        </w:rPr>
        <w:t>31</w:t>
      </w:r>
      <w:r w:rsidRPr="00F47E6D">
        <w:rPr>
          <w:rFonts w:cs="Arial"/>
        </w:rPr>
        <w:t xml:space="preserve"> December 201</w:t>
      </w:r>
      <w:r>
        <w:rPr>
          <w:rFonts w:cs="Arial"/>
        </w:rPr>
        <w:t>7</w:t>
      </w:r>
      <w:r w:rsidRPr="00F47E6D">
        <w:rPr>
          <w:rFonts w:cs="Arial"/>
        </w:rPr>
        <w:t xml:space="preserve">, the Commissioner has engaged with </w:t>
      </w:r>
      <w:r>
        <w:rPr>
          <w:rFonts w:cs="Arial"/>
        </w:rPr>
        <w:t xml:space="preserve">over </w:t>
      </w:r>
      <w:r w:rsidRPr="0003161D">
        <w:rPr>
          <w:rFonts w:cs="Arial"/>
        </w:rPr>
        <w:t>900</w:t>
      </w:r>
      <w:r w:rsidRPr="00F47E6D">
        <w:rPr>
          <w:rFonts w:cs="Arial"/>
        </w:rPr>
        <w:t xml:space="preserve"> stakeholders</w:t>
      </w:r>
      <w:r>
        <w:rPr>
          <w:rFonts w:cs="Arial"/>
        </w:rPr>
        <w:t>, including concerned and supportive community members, industry representatives, federal, state and local governments as well as experts</w:t>
      </w:r>
      <w:r w:rsidR="00BC5360">
        <w:rPr>
          <w:rFonts w:cs="Arial"/>
        </w:rPr>
        <w:t xml:space="preserve"> </w:t>
      </w:r>
      <w:r w:rsidR="002A70E8">
        <w:rPr>
          <w:rFonts w:cs="Arial"/>
        </w:rPr>
        <w:t xml:space="preserve">engaged by </w:t>
      </w:r>
      <w:r w:rsidR="00BC5360">
        <w:rPr>
          <w:rFonts w:cs="Arial"/>
        </w:rPr>
        <w:t>the industry</w:t>
      </w:r>
      <w:r>
        <w:rPr>
          <w:rFonts w:cs="Arial"/>
        </w:rPr>
        <w:t>.</w:t>
      </w:r>
      <w:r w:rsidRPr="00B956B7">
        <w:rPr>
          <w:rFonts w:cs="Arial"/>
        </w:rPr>
        <w:t xml:space="preserve"> </w:t>
      </w:r>
      <w:r>
        <w:rPr>
          <w:rFonts w:cs="Arial"/>
        </w:rPr>
        <w:t>The Commissioner m</w:t>
      </w:r>
      <w:r w:rsidR="002A70E8">
        <w:rPr>
          <w:rFonts w:cs="Arial"/>
        </w:rPr>
        <w:t>e</w:t>
      </w:r>
      <w:r>
        <w:rPr>
          <w:rFonts w:cs="Arial"/>
        </w:rPr>
        <w:t>et</w:t>
      </w:r>
      <w:r w:rsidR="002A70E8">
        <w:rPr>
          <w:rFonts w:cs="Arial"/>
        </w:rPr>
        <w:t>s</w:t>
      </w:r>
      <w:r>
        <w:rPr>
          <w:rFonts w:cs="Arial"/>
        </w:rPr>
        <w:t xml:space="preserve"> </w:t>
      </w:r>
      <w:r w:rsidR="002A70E8">
        <w:rPr>
          <w:rFonts w:cs="Arial"/>
        </w:rPr>
        <w:t xml:space="preserve">regularly </w:t>
      </w:r>
      <w:r>
        <w:rPr>
          <w:rFonts w:cs="Arial"/>
        </w:rPr>
        <w:t>with many of these stakeholders to work through issues,</w:t>
      </w:r>
      <w:r w:rsidR="002A70E8">
        <w:rPr>
          <w:rFonts w:cs="Arial"/>
        </w:rPr>
        <w:t xml:space="preserve"> resolve complaints, </w:t>
      </w:r>
      <w:r>
        <w:rPr>
          <w:rFonts w:cs="Arial"/>
        </w:rPr>
        <w:t xml:space="preserve">provide </w:t>
      </w:r>
      <w:r w:rsidR="0081142A">
        <w:rPr>
          <w:rFonts w:cs="Arial"/>
        </w:rPr>
        <w:t>briefings a</w:t>
      </w:r>
      <w:r>
        <w:rPr>
          <w:rFonts w:cs="Arial"/>
        </w:rPr>
        <w:t xml:space="preserve">nd maintain </w:t>
      </w:r>
      <w:r w:rsidR="002A70E8">
        <w:rPr>
          <w:rFonts w:cs="Arial"/>
        </w:rPr>
        <w:t xml:space="preserve">effective working </w:t>
      </w:r>
      <w:r w:rsidRPr="0036016D">
        <w:rPr>
          <w:rFonts w:cs="Arial"/>
        </w:rPr>
        <w:t>relationships</w:t>
      </w:r>
      <w:r>
        <w:rPr>
          <w:rFonts w:cs="Arial"/>
        </w:rPr>
        <w:t>.</w:t>
      </w:r>
    </w:p>
    <w:p w14:paraId="58AFA750" w14:textId="622E2C72" w:rsidR="00B956B7" w:rsidRDefault="00B956B7" w:rsidP="00B956B7">
      <w:pPr>
        <w:rPr>
          <w:rFonts w:cs="Arial"/>
        </w:rPr>
      </w:pPr>
      <w:r>
        <w:rPr>
          <w:rFonts w:cs="Arial"/>
        </w:rPr>
        <w:t>S</w:t>
      </w:r>
      <w:r w:rsidRPr="00F47E6D">
        <w:rPr>
          <w:rFonts w:cs="Arial"/>
        </w:rPr>
        <w:t xml:space="preserve">takeholder engagement </w:t>
      </w:r>
      <w:r>
        <w:rPr>
          <w:rFonts w:cs="Arial"/>
        </w:rPr>
        <w:t xml:space="preserve">has </w:t>
      </w:r>
      <w:r w:rsidRPr="00F47E6D">
        <w:rPr>
          <w:rFonts w:cs="Arial"/>
        </w:rPr>
        <w:t>assist</w:t>
      </w:r>
      <w:r>
        <w:rPr>
          <w:rFonts w:cs="Arial"/>
        </w:rPr>
        <w:t>ed</w:t>
      </w:r>
      <w:r w:rsidRPr="00F47E6D">
        <w:rPr>
          <w:rFonts w:cs="Arial"/>
        </w:rPr>
        <w:t xml:space="preserve"> the Commissioner </w:t>
      </w:r>
      <w:r>
        <w:rPr>
          <w:rFonts w:cs="Arial"/>
        </w:rPr>
        <w:t>s</w:t>
      </w:r>
      <w:r w:rsidRPr="00B956B7">
        <w:rPr>
          <w:rFonts w:cs="Arial"/>
        </w:rPr>
        <w:t xml:space="preserve">ignificantly in understanding the </w:t>
      </w:r>
      <w:r w:rsidR="002A70E8">
        <w:rPr>
          <w:rFonts w:cs="Arial"/>
        </w:rPr>
        <w:t xml:space="preserve">contemporary </w:t>
      </w:r>
      <w:r w:rsidRPr="00B956B7">
        <w:rPr>
          <w:rFonts w:cs="Arial"/>
        </w:rPr>
        <w:t xml:space="preserve">issues affecting communities as well as </w:t>
      </w:r>
      <w:r w:rsidR="00BC5360">
        <w:rPr>
          <w:rFonts w:cs="Arial"/>
        </w:rPr>
        <w:t xml:space="preserve">gaining insight into </w:t>
      </w:r>
      <w:r w:rsidRPr="00B956B7">
        <w:rPr>
          <w:rFonts w:cs="Arial"/>
        </w:rPr>
        <w:t xml:space="preserve">the role and perspectives of government, industry and other entities in the broader context. </w:t>
      </w:r>
      <w:r w:rsidR="00BC5360">
        <w:rPr>
          <w:rFonts w:cs="Arial"/>
        </w:rPr>
        <w:t>This</w:t>
      </w:r>
      <w:r w:rsidRPr="00B956B7">
        <w:rPr>
          <w:rFonts w:cs="Arial"/>
        </w:rPr>
        <w:t xml:space="preserve"> </w:t>
      </w:r>
      <w:r w:rsidR="002A70E8">
        <w:rPr>
          <w:rFonts w:cs="Arial"/>
        </w:rPr>
        <w:t xml:space="preserve">engagement </w:t>
      </w:r>
      <w:r w:rsidRPr="00B956B7">
        <w:rPr>
          <w:rFonts w:cs="Arial"/>
        </w:rPr>
        <w:t xml:space="preserve">has also assisted the Commissioner to identify </w:t>
      </w:r>
      <w:r w:rsidR="0081142A">
        <w:rPr>
          <w:rFonts w:cs="Arial"/>
        </w:rPr>
        <w:t xml:space="preserve">a wide range of </w:t>
      </w:r>
      <w:r w:rsidRPr="00B956B7">
        <w:rPr>
          <w:rFonts w:cs="Arial"/>
        </w:rPr>
        <w:t xml:space="preserve">improvement opportunities and </w:t>
      </w:r>
      <w:r w:rsidR="0081142A">
        <w:rPr>
          <w:rFonts w:cs="Arial"/>
        </w:rPr>
        <w:t xml:space="preserve">access to </w:t>
      </w:r>
      <w:r w:rsidRPr="00B956B7">
        <w:rPr>
          <w:rFonts w:cs="Arial"/>
        </w:rPr>
        <w:t>promote best practices.</w:t>
      </w:r>
    </w:p>
    <w:p w14:paraId="512ACFED" w14:textId="5F7F8940" w:rsidR="00B956B7" w:rsidRDefault="00B956B7" w:rsidP="00B956B7">
      <w:pPr>
        <w:rPr>
          <w:rFonts w:cs="Arial"/>
        </w:rPr>
      </w:pPr>
      <w:r w:rsidRPr="00B956B7">
        <w:rPr>
          <w:rFonts w:cs="Arial"/>
        </w:rPr>
        <w:t>Engagement with stakeholders will continue as the Commissioner seeks to consult and encourage adoption of best practices as well as work with stakeholders to facilitate the handling of complaints.</w:t>
      </w:r>
      <w:r>
        <w:rPr>
          <w:rFonts w:cs="Arial"/>
        </w:rPr>
        <w:t xml:space="preserve"> </w:t>
      </w:r>
      <w:r w:rsidRPr="00B956B7">
        <w:rPr>
          <w:rFonts w:cs="Arial"/>
        </w:rPr>
        <w:t xml:space="preserve">The Commissioner considers that the ongoing consultation with stakeholders, particularly sharing perspectives gained from direct observations of current practices within the wind energy sector, will further contribute to the development of </w:t>
      </w:r>
      <w:r w:rsidR="002A70E8">
        <w:rPr>
          <w:rFonts w:cs="Arial"/>
        </w:rPr>
        <w:t xml:space="preserve">a </w:t>
      </w:r>
      <w:r w:rsidRPr="00B956B7">
        <w:rPr>
          <w:rFonts w:cs="Arial"/>
        </w:rPr>
        <w:t xml:space="preserve">more robust wind energy governance </w:t>
      </w:r>
      <w:r w:rsidR="0081142A">
        <w:rPr>
          <w:rFonts w:cs="Arial"/>
        </w:rPr>
        <w:t>framework</w:t>
      </w:r>
      <w:r w:rsidR="00864A0C">
        <w:rPr>
          <w:rFonts w:cs="Arial"/>
        </w:rPr>
        <w:t>.</w:t>
      </w:r>
    </w:p>
    <w:p w14:paraId="3C54E92C" w14:textId="77777777" w:rsidR="005874E7" w:rsidRPr="00F47E6D" w:rsidRDefault="005874E7" w:rsidP="005874E7">
      <w:pPr>
        <w:pStyle w:val="Heading2"/>
      </w:pPr>
      <w:bookmarkStart w:id="20" w:name="_Toc511140614"/>
      <w:r w:rsidRPr="00F47E6D">
        <w:t>How Have We Engaged With Stakeholders</w:t>
      </w:r>
      <w:bookmarkEnd w:id="20"/>
    </w:p>
    <w:p w14:paraId="72908BFF" w14:textId="77777777" w:rsidR="0084728C" w:rsidRPr="00F47E6D" w:rsidRDefault="0084728C" w:rsidP="0084728C">
      <w:pPr>
        <w:pStyle w:val="Heading3"/>
      </w:pPr>
      <w:bookmarkStart w:id="21" w:name="_Toc511140615"/>
      <w:r w:rsidRPr="00F47E6D">
        <w:t>Community Associations and Residents</w:t>
      </w:r>
      <w:bookmarkEnd w:id="21"/>
      <w:r w:rsidRPr="00F47E6D">
        <w:t xml:space="preserve"> </w:t>
      </w:r>
    </w:p>
    <w:p w14:paraId="6ECC2021" w14:textId="2416B186" w:rsidR="002A70E8" w:rsidRDefault="00652BC3" w:rsidP="0084728C">
      <w:pPr>
        <w:rPr>
          <w:rFonts w:cs="Arial"/>
        </w:rPr>
      </w:pPr>
      <w:r>
        <w:rPr>
          <w:rFonts w:cs="Arial"/>
        </w:rPr>
        <w:t xml:space="preserve">During </w:t>
      </w:r>
      <w:r w:rsidR="0084728C">
        <w:rPr>
          <w:rFonts w:cs="Arial"/>
        </w:rPr>
        <w:t>2017,</w:t>
      </w:r>
      <w:r w:rsidR="0084728C" w:rsidRPr="009D6383">
        <w:rPr>
          <w:rFonts w:asciiTheme="minorHAnsi" w:hAnsiTheme="minorHAnsi"/>
        </w:rPr>
        <w:t xml:space="preserve"> </w:t>
      </w:r>
      <w:r w:rsidR="0084728C" w:rsidRPr="0084728C">
        <w:rPr>
          <w:rFonts w:cs="Arial"/>
        </w:rPr>
        <w:t>the Commissioner continued to meet with community stakeholders to gain a further understanding of ‘on-the-ground</w:t>
      </w:r>
      <w:r w:rsidR="002624BA">
        <w:rPr>
          <w:rFonts w:cs="Arial"/>
        </w:rPr>
        <w:t>’</w:t>
      </w:r>
      <w:r w:rsidR="0084728C" w:rsidRPr="0084728C">
        <w:rPr>
          <w:rFonts w:cs="Arial"/>
        </w:rPr>
        <w:t xml:space="preserve"> issues. </w:t>
      </w:r>
      <w:r>
        <w:rPr>
          <w:rFonts w:cs="Arial"/>
        </w:rPr>
        <w:t>T</w:t>
      </w:r>
      <w:r w:rsidR="0084728C" w:rsidRPr="0084728C">
        <w:rPr>
          <w:rFonts w:cs="Arial"/>
        </w:rPr>
        <w:t xml:space="preserve">he Commissioner visited numerous wind farm sites and met with concerned residents, supportive residents and representatives of community associations. The Commissioner </w:t>
      </w:r>
      <w:r w:rsidR="0084728C">
        <w:rPr>
          <w:rFonts w:cs="Arial"/>
        </w:rPr>
        <w:t xml:space="preserve">has </w:t>
      </w:r>
      <w:r w:rsidR="0084728C" w:rsidRPr="0084728C">
        <w:rPr>
          <w:rFonts w:cs="Arial"/>
        </w:rPr>
        <w:t xml:space="preserve">also </w:t>
      </w:r>
      <w:r w:rsidR="00007830" w:rsidRPr="0084728C">
        <w:rPr>
          <w:rFonts w:cs="Arial"/>
        </w:rPr>
        <w:t>continue</w:t>
      </w:r>
      <w:r w:rsidR="00007830">
        <w:rPr>
          <w:rFonts w:cs="Arial"/>
        </w:rPr>
        <w:t>d</w:t>
      </w:r>
      <w:r w:rsidR="00007830" w:rsidRPr="0084728C">
        <w:rPr>
          <w:rFonts w:cs="Arial"/>
        </w:rPr>
        <w:t xml:space="preserve"> </w:t>
      </w:r>
      <w:r w:rsidR="0084728C" w:rsidRPr="0084728C">
        <w:rPr>
          <w:rFonts w:cs="Arial"/>
        </w:rPr>
        <w:t xml:space="preserve">to meet </w:t>
      </w:r>
      <w:r w:rsidR="00221467">
        <w:rPr>
          <w:rFonts w:cs="Arial"/>
        </w:rPr>
        <w:t xml:space="preserve">with </w:t>
      </w:r>
      <w:r w:rsidR="0084728C" w:rsidRPr="0084728C">
        <w:rPr>
          <w:rFonts w:cs="Arial"/>
        </w:rPr>
        <w:t>and present to community groups, such as Community Consultative Committees</w:t>
      </w:r>
      <w:r w:rsidR="00221467">
        <w:rPr>
          <w:rFonts w:cs="Arial"/>
        </w:rPr>
        <w:t xml:space="preserve"> (CCC’s) and other liaison groups</w:t>
      </w:r>
      <w:r w:rsidR="0084728C" w:rsidRPr="0084728C">
        <w:rPr>
          <w:rFonts w:cs="Arial"/>
        </w:rPr>
        <w:t>.</w:t>
      </w:r>
      <w:r w:rsidR="0084728C">
        <w:rPr>
          <w:rFonts w:cs="Arial"/>
        </w:rPr>
        <w:t xml:space="preserve"> </w:t>
      </w:r>
    </w:p>
    <w:p w14:paraId="653F7C9A" w14:textId="7F7995D7" w:rsidR="0084728C" w:rsidRDefault="002A70E8" w:rsidP="0084728C">
      <w:pPr>
        <w:rPr>
          <w:rFonts w:cs="Arial"/>
        </w:rPr>
      </w:pPr>
      <w:r>
        <w:rPr>
          <w:rFonts w:cs="Arial"/>
        </w:rPr>
        <w:t>During 2017, the Commissioner delivered presentations to</w:t>
      </w:r>
      <w:r w:rsidR="005A0E9F">
        <w:rPr>
          <w:rFonts w:cs="Arial"/>
        </w:rPr>
        <w:t>:</w:t>
      </w:r>
    </w:p>
    <w:p w14:paraId="2284A430" w14:textId="45EEBB40" w:rsidR="0084728C" w:rsidRDefault="00134C44" w:rsidP="00D35B01">
      <w:pPr>
        <w:pStyle w:val="ListParagraph"/>
        <w:numPr>
          <w:ilvl w:val="0"/>
          <w:numId w:val="33"/>
        </w:numPr>
        <w:rPr>
          <w:rFonts w:cs="Arial"/>
        </w:rPr>
      </w:pPr>
      <w:r w:rsidRPr="00134C44">
        <w:rPr>
          <w:rFonts w:cs="Arial"/>
        </w:rPr>
        <w:t>Mid</w:t>
      </w:r>
      <w:r w:rsidR="00652BC3">
        <w:rPr>
          <w:rFonts w:cs="Arial"/>
        </w:rPr>
        <w:t>-</w:t>
      </w:r>
      <w:r w:rsidRPr="00134C44">
        <w:rPr>
          <w:rFonts w:cs="Arial"/>
        </w:rPr>
        <w:t>North Wind Farm Community Liaison Group</w:t>
      </w:r>
      <w:r w:rsidR="005F5472">
        <w:rPr>
          <w:rFonts w:cs="Arial"/>
        </w:rPr>
        <w:t>, South Australia</w:t>
      </w:r>
      <w:r w:rsidR="00D35B01">
        <w:rPr>
          <w:rFonts w:cs="Arial"/>
        </w:rPr>
        <w:t xml:space="preserve"> – May 2017</w:t>
      </w:r>
    </w:p>
    <w:p w14:paraId="28CD8AC7" w14:textId="751E1CC8" w:rsidR="005A0E9F" w:rsidRDefault="005A0E9F" w:rsidP="00D35B01">
      <w:pPr>
        <w:pStyle w:val="ListParagraph"/>
        <w:numPr>
          <w:ilvl w:val="0"/>
          <w:numId w:val="33"/>
        </w:numPr>
        <w:rPr>
          <w:rFonts w:cs="Arial"/>
        </w:rPr>
      </w:pPr>
      <w:r>
        <w:rPr>
          <w:rFonts w:cs="Arial"/>
        </w:rPr>
        <w:t>Hawkesdale Community Meeting</w:t>
      </w:r>
      <w:r w:rsidR="005F5472">
        <w:rPr>
          <w:rFonts w:cs="Arial"/>
        </w:rPr>
        <w:t xml:space="preserve">, </w:t>
      </w:r>
      <w:r w:rsidR="00652BC3">
        <w:rPr>
          <w:rFonts w:cs="Arial"/>
        </w:rPr>
        <w:t xml:space="preserve">Hawkesdale, </w:t>
      </w:r>
      <w:r w:rsidR="005F5472">
        <w:rPr>
          <w:rFonts w:cs="Arial"/>
        </w:rPr>
        <w:t>Victoria</w:t>
      </w:r>
      <w:r w:rsidR="00D35B01">
        <w:rPr>
          <w:rFonts w:cs="Arial"/>
        </w:rPr>
        <w:t xml:space="preserve"> – September 2017</w:t>
      </w:r>
    </w:p>
    <w:p w14:paraId="4D96DE43" w14:textId="149CD2CB" w:rsidR="005F5472" w:rsidRPr="00652BC3" w:rsidRDefault="00652BC3" w:rsidP="00D35B01">
      <w:pPr>
        <w:pStyle w:val="ListParagraph"/>
        <w:numPr>
          <w:ilvl w:val="0"/>
          <w:numId w:val="33"/>
        </w:numPr>
        <w:rPr>
          <w:rFonts w:cs="Arial"/>
        </w:rPr>
      </w:pPr>
      <w:r>
        <w:t>Landowners</w:t>
      </w:r>
      <w:r w:rsidR="005F5472">
        <w:t xml:space="preserve"> Community Meeting, </w:t>
      </w:r>
      <w:r>
        <w:t xml:space="preserve">Kentucky, </w:t>
      </w:r>
      <w:r w:rsidR="005F5472">
        <w:t>NSW</w:t>
      </w:r>
      <w:r w:rsidR="00D35B01">
        <w:rPr>
          <w:rFonts w:cs="Arial"/>
        </w:rPr>
        <w:t xml:space="preserve"> – </w:t>
      </w:r>
      <w:r w:rsidR="00D35B01">
        <w:t>November 2017</w:t>
      </w:r>
    </w:p>
    <w:p w14:paraId="302D5380" w14:textId="37E3A1F9" w:rsidR="00652BC3" w:rsidRPr="005F5472" w:rsidRDefault="00652BC3" w:rsidP="00D35B01">
      <w:pPr>
        <w:pStyle w:val="ListParagraph"/>
        <w:numPr>
          <w:ilvl w:val="0"/>
          <w:numId w:val="33"/>
        </w:numPr>
        <w:rPr>
          <w:rFonts w:cs="Arial"/>
        </w:rPr>
      </w:pPr>
      <w:r>
        <w:t xml:space="preserve">Community </w:t>
      </w:r>
      <w:r w:rsidR="0062005C">
        <w:t>‘</w:t>
      </w:r>
      <w:r>
        <w:t>Town Hall</w:t>
      </w:r>
      <w:r w:rsidR="0062005C">
        <w:t>’</w:t>
      </w:r>
      <w:r>
        <w:t xml:space="preserve"> Meeting, Glen Innes, NSW</w:t>
      </w:r>
      <w:r w:rsidR="00D35B01">
        <w:rPr>
          <w:rFonts w:cs="Arial"/>
        </w:rPr>
        <w:t xml:space="preserve"> – </w:t>
      </w:r>
      <w:r w:rsidR="00D35B01">
        <w:t>November 2017</w:t>
      </w:r>
    </w:p>
    <w:p w14:paraId="2C411E48" w14:textId="47A64330" w:rsidR="0084728C" w:rsidRPr="0084728C" w:rsidRDefault="0084728C" w:rsidP="00D35B01">
      <w:pPr>
        <w:pStyle w:val="ListParagraph"/>
        <w:numPr>
          <w:ilvl w:val="0"/>
          <w:numId w:val="33"/>
        </w:numPr>
        <w:rPr>
          <w:rFonts w:cs="Arial"/>
        </w:rPr>
      </w:pPr>
      <w:r w:rsidRPr="0084728C">
        <w:rPr>
          <w:rFonts w:cs="Arial"/>
        </w:rPr>
        <w:t>Gullen Range Community Consultative Committee</w:t>
      </w:r>
      <w:r w:rsidR="005F5472">
        <w:rPr>
          <w:rFonts w:cs="Arial"/>
        </w:rPr>
        <w:t>, NSW</w:t>
      </w:r>
      <w:r w:rsidR="00D35B01">
        <w:rPr>
          <w:rFonts w:cs="Arial"/>
        </w:rPr>
        <w:t xml:space="preserve"> – December 2017</w:t>
      </w:r>
    </w:p>
    <w:p w14:paraId="3E730D0A" w14:textId="6A5BFFF2" w:rsidR="0084728C" w:rsidRPr="0084728C" w:rsidRDefault="0084728C" w:rsidP="00D35B01">
      <w:pPr>
        <w:pStyle w:val="ListParagraph"/>
        <w:numPr>
          <w:ilvl w:val="0"/>
          <w:numId w:val="33"/>
        </w:numPr>
        <w:rPr>
          <w:rFonts w:asciiTheme="minorHAnsi" w:hAnsiTheme="minorHAnsi"/>
        </w:rPr>
      </w:pPr>
      <w:r w:rsidRPr="0084728C">
        <w:rPr>
          <w:rFonts w:cs="Arial"/>
        </w:rPr>
        <w:t>Crookwell II Community Consultative Committee</w:t>
      </w:r>
      <w:r w:rsidR="005F5472">
        <w:rPr>
          <w:rFonts w:cs="Arial"/>
        </w:rPr>
        <w:t>, NSW</w:t>
      </w:r>
      <w:r w:rsidR="00D35B01">
        <w:rPr>
          <w:rFonts w:cs="Arial"/>
        </w:rPr>
        <w:t xml:space="preserve"> – </w:t>
      </w:r>
      <w:r w:rsidRPr="0084728C">
        <w:rPr>
          <w:rFonts w:cs="Arial"/>
        </w:rPr>
        <w:t>December</w:t>
      </w:r>
      <w:r w:rsidR="00D35B01">
        <w:rPr>
          <w:rFonts w:cs="Arial"/>
        </w:rPr>
        <w:t xml:space="preserve"> 2017</w:t>
      </w:r>
      <w:r w:rsidRPr="0084728C">
        <w:rPr>
          <w:rFonts w:cs="Arial"/>
        </w:rPr>
        <w:t>.</w:t>
      </w:r>
    </w:p>
    <w:p w14:paraId="6B69BD5E" w14:textId="33CEAEB9" w:rsidR="00D136BA" w:rsidRDefault="002A70E8" w:rsidP="0084728C">
      <w:pPr>
        <w:rPr>
          <w:rFonts w:cs="Arial"/>
        </w:rPr>
      </w:pPr>
      <w:r>
        <w:rPr>
          <w:rFonts w:cs="Arial"/>
        </w:rPr>
        <w:t>Participation in t</w:t>
      </w:r>
      <w:r w:rsidR="002624BA">
        <w:rPr>
          <w:rFonts w:cs="Arial"/>
        </w:rPr>
        <w:t>hese meetings and presentations</w:t>
      </w:r>
      <w:r w:rsidR="005F5472">
        <w:rPr>
          <w:rFonts w:cs="Arial"/>
        </w:rPr>
        <w:t xml:space="preserve"> have been integral to </w:t>
      </w:r>
      <w:r>
        <w:rPr>
          <w:rFonts w:cs="Arial"/>
        </w:rPr>
        <w:t xml:space="preserve">help </w:t>
      </w:r>
      <w:r w:rsidR="00D136BA">
        <w:rPr>
          <w:rFonts w:cs="Arial"/>
        </w:rPr>
        <w:t>a</w:t>
      </w:r>
      <w:r w:rsidR="00652BC3">
        <w:rPr>
          <w:rFonts w:cs="Arial"/>
        </w:rPr>
        <w:t xml:space="preserve">ddress general </w:t>
      </w:r>
      <w:r w:rsidR="00D136BA">
        <w:rPr>
          <w:rFonts w:cs="Arial"/>
        </w:rPr>
        <w:t xml:space="preserve">concerns </w:t>
      </w:r>
      <w:r w:rsidR="00652BC3">
        <w:rPr>
          <w:rFonts w:cs="Arial"/>
        </w:rPr>
        <w:t xml:space="preserve">in relation to wind farm </w:t>
      </w:r>
      <w:r w:rsidR="00D136BA">
        <w:rPr>
          <w:rFonts w:cs="Arial"/>
        </w:rPr>
        <w:t>projects</w:t>
      </w:r>
      <w:r w:rsidR="00BC5360" w:rsidRPr="00BC5360">
        <w:rPr>
          <w:rFonts w:cs="Arial"/>
        </w:rPr>
        <w:t xml:space="preserve"> </w:t>
      </w:r>
      <w:r w:rsidR="00BC5360">
        <w:rPr>
          <w:rFonts w:cs="Arial"/>
        </w:rPr>
        <w:t>in local communities</w:t>
      </w:r>
      <w:r w:rsidR="00D136BA">
        <w:rPr>
          <w:rFonts w:cs="Arial"/>
        </w:rPr>
        <w:t xml:space="preserve">. </w:t>
      </w:r>
      <w:r>
        <w:rPr>
          <w:rFonts w:cs="Arial"/>
        </w:rPr>
        <w:t>Such c</w:t>
      </w:r>
      <w:r w:rsidR="0084728C" w:rsidRPr="00F47E6D">
        <w:rPr>
          <w:rFonts w:cs="Arial"/>
        </w:rPr>
        <w:t>o</w:t>
      </w:r>
      <w:r w:rsidR="0084728C">
        <w:rPr>
          <w:rFonts w:cs="Arial"/>
        </w:rPr>
        <w:t xml:space="preserve">nsultations </w:t>
      </w:r>
      <w:r w:rsidR="0084728C" w:rsidRPr="00F47E6D">
        <w:rPr>
          <w:rFonts w:cs="Arial"/>
        </w:rPr>
        <w:t>have</w:t>
      </w:r>
      <w:r w:rsidR="00D136BA">
        <w:rPr>
          <w:rFonts w:cs="Arial"/>
        </w:rPr>
        <w:t xml:space="preserve"> also</w:t>
      </w:r>
      <w:r w:rsidR="0084728C" w:rsidRPr="00F47E6D">
        <w:rPr>
          <w:rFonts w:cs="Arial"/>
        </w:rPr>
        <w:t xml:space="preserve"> assisted the Commissioner </w:t>
      </w:r>
      <w:r w:rsidR="0084728C">
        <w:rPr>
          <w:rFonts w:cs="Arial"/>
        </w:rPr>
        <w:t xml:space="preserve">in identifying a range of </w:t>
      </w:r>
      <w:r w:rsidR="0084728C" w:rsidRPr="00F47E6D">
        <w:rPr>
          <w:rFonts w:cs="Arial"/>
        </w:rPr>
        <w:t xml:space="preserve">impacts </w:t>
      </w:r>
      <w:r w:rsidR="0084728C">
        <w:rPr>
          <w:rFonts w:cs="Arial"/>
        </w:rPr>
        <w:t xml:space="preserve">that </w:t>
      </w:r>
      <w:r w:rsidR="0084728C" w:rsidRPr="00F47E6D">
        <w:rPr>
          <w:rFonts w:cs="Arial"/>
        </w:rPr>
        <w:t xml:space="preserve">wind farms </w:t>
      </w:r>
      <w:r w:rsidR="0084728C">
        <w:rPr>
          <w:rFonts w:cs="Arial"/>
        </w:rPr>
        <w:t xml:space="preserve">can </w:t>
      </w:r>
      <w:r w:rsidR="0084728C" w:rsidRPr="00F47E6D">
        <w:rPr>
          <w:rFonts w:cs="Arial"/>
        </w:rPr>
        <w:t xml:space="preserve">have on communities. </w:t>
      </w:r>
      <w:r w:rsidR="002624BA">
        <w:rPr>
          <w:rFonts w:cs="Arial"/>
        </w:rPr>
        <w:t>By</w:t>
      </w:r>
      <w:r w:rsidR="002624BA" w:rsidRPr="00F47E6D">
        <w:rPr>
          <w:rFonts w:cs="Arial"/>
        </w:rPr>
        <w:t xml:space="preserve"> </w:t>
      </w:r>
      <w:r w:rsidR="0084728C">
        <w:rPr>
          <w:rFonts w:cs="Arial"/>
        </w:rPr>
        <w:t>listening to</w:t>
      </w:r>
      <w:r w:rsidR="0084728C" w:rsidRPr="00F47E6D">
        <w:rPr>
          <w:rFonts w:cs="Arial"/>
        </w:rPr>
        <w:t xml:space="preserve"> </w:t>
      </w:r>
      <w:r w:rsidR="002624BA">
        <w:rPr>
          <w:rFonts w:cs="Arial"/>
        </w:rPr>
        <w:t xml:space="preserve">specific community and individual </w:t>
      </w:r>
      <w:r w:rsidR="0084728C" w:rsidRPr="00F47E6D">
        <w:rPr>
          <w:rFonts w:cs="Arial"/>
        </w:rPr>
        <w:t xml:space="preserve">concerns, the </w:t>
      </w:r>
      <w:r w:rsidR="0084728C">
        <w:rPr>
          <w:rFonts w:cs="Arial"/>
        </w:rPr>
        <w:t>Commissioner</w:t>
      </w:r>
      <w:r w:rsidR="0084728C" w:rsidRPr="00F47E6D">
        <w:rPr>
          <w:rFonts w:cs="Arial"/>
        </w:rPr>
        <w:t xml:space="preserve"> has developed a </w:t>
      </w:r>
      <w:r w:rsidR="0084728C">
        <w:rPr>
          <w:rFonts w:cs="Arial"/>
        </w:rPr>
        <w:t xml:space="preserve">thorough </w:t>
      </w:r>
      <w:r w:rsidR="0084728C" w:rsidRPr="00F47E6D">
        <w:rPr>
          <w:rFonts w:cs="Arial"/>
        </w:rPr>
        <w:t xml:space="preserve">understanding of </w:t>
      </w:r>
      <w:r w:rsidR="0084728C">
        <w:rPr>
          <w:rFonts w:cs="Arial"/>
        </w:rPr>
        <w:t xml:space="preserve">the issues </w:t>
      </w:r>
      <w:r w:rsidR="0084728C" w:rsidRPr="00F47E6D">
        <w:rPr>
          <w:rFonts w:cs="Arial"/>
        </w:rPr>
        <w:t>pertinent to pro</w:t>
      </w:r>
      <w:r w:rsidR="00D136BA">
        <w:rPr>
          <w:rFonts w:cs="Arial"/>
        </w:rPr>
        <w:t>posed and operating wind farms.</w:t>
      </w:r>
    </w:p>
    <w:p w14:paraId="73330A18" w14:textId="32C98C66" w:rsidR="0084728C" w:rsidRPr="00F47E6D" w:rsidRDefault="00D136BA" w:rsidP="0084728C">
      <w:pPr>
        <w:rPr>
          <w:rFonts w:cs="Arial"/>
        </w:rPr>
      </w:pPr>
      <w:r>
        <w:rPr>
          <w:rFonts w:cs="Arial"/>
        </w:rPr>
        <w:t>I</w:t>
      </w:r>
      <w:r w:rsidR="0084728C">
        <w:rPr>
          <w:rFonts w:cs="Arial"/>
        </w:rPr>
        <w:t>ssues</w:t>
      </w:r>
      <w:r w:rsidR="0084728C" w:rsidRPr="00F47E6D">
        <w:rPr>
          <w:rFonts w:cs="Arial"/>
        </w:rPr>
        <w:t xml:space="preserve"> </w:t>
      </w:r>
      <w:r>
        <w:rPr>
          <w:rFonts w:cs="Arial"/>
        </w:rPr>
        <w:t xml:space="preserve">raised during these </w:t>
      </w:r>
      <w:r w:rsidR="002A70E8">
        <w:rPr>
          <w:rFonts w:cs="Arial"/>
        </w:rPr>
        <w:t>forums</w:t>
      </w:r>
      <w:r>
        <w:rPr>
          <w:rFonts w:cs="Arial"/>
        </w:rPr>
        <w:t xml:space="preserve"> </w:t>
      </w:r>
      <w:r w:rsidR="004B599F">
        <w:rPr>
          <w:rFonts w:cs="Arial"/>
        </w:rPr>
        <w:t xml:space="preserve">also </w:t>
      </w:r>
      <w:r w:rsidR="002A70E8">
        <w:rPr>
          <w:rFonts w:cs="Arial"/>
        </w:rPr>
        <w:t xml:space="preserve">help </w:t>
      </w:r>
      <w:r w:rsidR="0084728C" w:rsidRPr="00F47E6D">
        <w:rPr>
          <w:rFonts w:cs="Arial"/>
        </w:rPr>
        <w:t xml:space="preserve">form the basis of discussions with industry and </w:t>
      </w:r>
      <w:r w:rsidR="0084728C">
        <w:rPr>
          <w:rFonts w:cs="Arial"/>
        </w:rPr>
        <w:t>g</w:t>
      </w:r>
      <w:r w:rsidR="0084728C" w:rsidRPr="00F47E6D">
        <w:rPr>
          <w:rFonts w:cs="Arial"/>
        </w:rPr>
        <w:t xml:space="preserve">overnment </w:t>
      </w:r>
      <w:r w:rsidR="0084728C">
        <w:rPr>
          <w:rFonts w:cs="Arial"/>
        </w:rPr>
        <w:t>in considering the development of</w:t>
      </w:r>
      <w:r w:rsidR="0084728C" w:rsidRPr="00F47E6D">
        <w:rPr>
          <w:rFonts w:cs="Arial"/>
        </w:rPr>
        <w:t xml:space="preserve"> future policy and </w:t>
      </w:r>
      <w:r w:rsidR="0084728C">
        <w:rPr>
          <w:rFonts w:cs="Arial"/>
        </w:rPr>
        <w:t xml:space="preserve">guidelines </w:t>
      </w:r>
      <w:r w:rsidR="002A70E8">
        <w:rPr>
          <w:rFonts w:cs="Arial"/>
        </w:rPr>
        <w:t xml:space="preserve">as </w:t>
      </w:r>
      <w:r w:rsidR="0084728C" w:rsidRPr="00F47E6D">
        <w:rPr>
          <w:rFonts w:cs="Arial"/>
        </w:rPr>
        <w:t>discussed later in this report</w:t>
      </w:r>
      <w:r w:rsidR="002A70E8">
        <w:rPr>
          <w:rFonts w:cs="Arial"/>
        </w:rPr>
        <w:t>,</w:t>
      </w:r>
      <w:r w:rsidR="0084728C" w:rsidRPr="00F47E6D">
        <w:rPr>
          <w:rFonts w:cs="Arial"/>
        </w:rPr>
        <w:t xml:space="preserve"> together with the Commissioner’s </w:t>
      </w:r>
      <w:r w:rsidR="002A70E8">
        <w:rPr>
          <w:rFonts w:cs="Arial"/>
        </w:rPr>
        <w:t xml:space="preserve">updated </w:t>
      </w:r>
      <w:r w:rsidR="0084728C" w:rsidRPr="00F47E6D">
        <w:rPr>
          <w:rFonts w:cs="Arial"/>
        </w:rPr>
        <w:t>recommendations</w:t>
      </w:r>
      <w:r w:rsidR="0084728C">
        <w:rPr>
          <w:rFonts w:cs="Arial"/>
        </w:rPr>
        <w:t xml:space="preserve"> for consideration</w:t>
      </w:r>
      <w:r w:rsidR="0084728C" w:rsidRPr="00F47E6D">
        <w:rPr>
          <w:rFonts w:cs="Arial"/>
        </w:rPr>
        <w:t xml:space="preserve">. </w:t>
      </w:r>
    </w:p>
    <w:p w14:paraId="1BC3DEF3" w14:textId="77777777" w:rsidR="00080CEC" w:rsidRDefault="00080CEC" w:rsidP="00080CEC">
      <w:pPr>
        <w:pStyle w:val="Heading3"/>
      </w:pPr>
      <w:bookmarkStart w:id="22" w:name="_Toc511140616"/>
      <w:r>
        <w:lastRenderedPageBreak/>
        <w:t>Industry</w:t>
      </w:r>
      <w:bookmarkEnd w:id="22"/>
    </w:p>
    <w:p w14:paraId="3F6D9B20" w14:textId="17972ADB" w:rsidR="006A54E6" w:rsidRPr="006A54E6" w:rsidRDefault="0074209F" w:rsidP="006A54E6">
      <w:pPr>
        <w:spacing w:line="264" w:lineRule="auto"/>
        <w:rPr>
          <w:rFonts w:cs="Arial"/>
        </w:rPr>
      </w:pPr>
      <w:r>
        <w:rPr>
          <w:rFonts w:eastAsia="Times New Roman" w:cs="Arial"/>
          <w:lang w:eastAsia="en-AU"/>
        </w:rPr>
        <w:t>Throughout 2017, t</w:t>
      </w:r>
      <w:r w:rsidR="0052117D" w:rsidRPr="0052117D">
        <w:rPr>
          <w:rFonts w:cs="Arial"/>
        </w:rPr>
        <w:t>he Commissioner</w:t>
      </w:r>
      <w:r w:rsidR="0052117D" w:rsidRPr="0052117D">
        <w:rPr>
          <w:rFonts w:eastAsia="Times New Roman" w:cs="Arial"/>
          <w:lang w:eastAsia="en-AU"/>
        </w:rPr>
        <w:t xml:space="preserve"> has maintained a </w:t>
      </w:r>
      <w:r>
        <w:rPr>
          <w:rFonts w:eastAsia="Times New Roman" w:cs="Arial"/>
          <w:lang w:eastAsia="en-AU"/>
        </w:rPr>
        <w:t xml:space="preserve">strong </w:t>
      </w:r>
      <w:r w:rsidR="0052117D" w:rsidRPr="0052117D">
        <w:rPr>
          <w:rFonts w:eastAsia="Times New Roman" w:cs="Arial"/>
          <w:lang w:eastAsia="en-AU"/>
        </w:rPr>
        <w:t xml:space="preserve">focus on proactively engaging with </w:t>
      </w:r>
      <w:r w:rsidR="00E26F87">
        <w:rPr>
          <w:rFonts w:eastAsia="Times New Roman" w:cs="Arial"/>
          <w:lang w:eastAsia="en-AU"/>
        </w:rPr>
        <w:t>the wind energy industry on a wide range of matters</w:t>
      </w:r>
      <w:r>
        <w:rPr>
          <w:rFonts w:eastAsia="Times New Roman" w:cs="Arial"/>
          <w:lang w:eastAsia="en-AU"/>
        </w:rPr>
        <w:t>,</w:t>
      </w:r>
      <w:r w:rsidR="0052117D" w:rsidRPr="0052117D">
        <w:rPr>
          <w:rFonts w:eastAsia="Times New Roman" w:cs="Arial"/>
          <w:lang w:eastAsia="en-AU"/>
        </w:rPr>
        <w:t xml:space="preserve"> including approaches to </w:t>
      </w:r>
      <w:r w:rsidR="0052117D" w:rsidRPr="0052117D">
        <w:rPr>
          <w:rFonts w:cs="Arial"/>
        </w:rPr>
        <w:t xml:space="preserve">community engagement, complaint handling and transparency of information. </w:t>
      </w:r>
      <w:r w:rsidR="006A54E6" w:rsidRPr="006A54E6">
        <w:rPr>
          <w:rFonts w:cs="Arial"/>
        </w:rPr>
        <w:t xml:space="preserve">Ongoing consultation meetings with </w:t>
      </w:r>
      <w:r>
        <w:rPr>
          <w:rFonts w:cs="Arial"/>
        </w:rPr>
        <w:t xml:space="preserve">various </w:t>
      </w:r>
      <w:r w:rsidR="00FC717E">
        <w:rPr>
          <w:rFonts w:cs="Arial"/>
        </w:rPr>
        <w:t xml:space="preserve">industry </w:t>
      </w:r>
      <w:r>
        <w:rPr>
          <w:rFonts w:cs="Arial"/>
        </w:rPr>
        <w:t>stakeholders</w:t>
      </w:r>
      <w:r w:rsidR="006A54E6" w:rsidRPr="006A54E6">
        <w:rPr>
          <w:rFonts w:cs="Arial"/>
        </w:rPr>
        <w:t xml:space="preserve"> have been </w:t>
      </w:r>
      <w:r w:rsidR="00FC717E">
        <w:rPr>
          <w:rFonts w:cs="Arial"/>
        </w:rPr>
        <w:t>in</w:t>
      </w:r>
      <w:r w:rsidR="006A54E6" w:rsidRPr="006A54E6">
        <w:rPr>
          <w:rFonts w:cs="Arial"/>
        </w:rPr>
        <w:t xml:space="preserve">valuable </w:t>
      </w:r>
      <w:r w:rsidR="00FC717E">
        <w:rPr>
          <w:rFonts w:cs="Arial"/>
        </w:rPr>
        <w:t>to</w:t>
      </w:r>
      <w:r w:rsidR="006A54E6" w:rsidRPr="006A54E6">
        <w:rPr>
          <w:rFonts w:cs="Arial"/>
        </w:rPr>
        <w:t xml:space="preserve"> gaining an understanding of the current trends, practices and developments in the wind </w:t>
      </w:r>
      <w:r w:rsidR="00FC717E">
        <w:rPr>
          <w:rFonts w:cs="Arial"/>
        </w:rPr>
        <w:t xml:space="preserve">energy </w:t>
      </w:r>
      <w:r w:rsidR="006A54E6" w:rsidRPr="006A54E6">
        <w:rPr>
          <w:rFonts w:cs="Arial"/>
        </w:rPr>
        <w:t xml:space="preserve">sector </w:t>
      </w:r>
      <w:r w:rsidR="00FC717E">
        <w:rPr>
          <w:rFonts w:cs="Arial"/>
        </w:rPr>
        <w:t xml:space="preserve">– as </w:t>
      </w:r>
      <w:r w:rsidR="006A54E6" w:rsidRPr="006A54E6">
        <w:rPr>
          <w:rFonts w:cs="Arial"/>
        </w:rPr>
        <w:t>well as identifying areas where further improvement</w:t>
      </w:r>
      <w:r>
        <w:rPr>
          <w:rFonts w:cs="Arial"/>
        </w:rPr>
        <w:t>s</w:t>
      </w:r>
      <w:r w:rsidR="006A54E6" w:rsidRPr="006A54E6">
        <w:rPr>
          <w:rFonts w:cs="Arial"/>
        </w:rPr>
        <w:t xml:space="preserve"> could be made </w:t>
      </w:r>
      <w:r w:rsidR="00FC717E">
        <w:rPr>
          <w:rFonts w:cs="Arial"/>
        </w:rPr>
        <w:t>by</w:t>
      </w:r>
      <w:r w:rsidR="006A54E6" w:rsidRPr="006A54E6">
        <w:rPr>
          <w:rFonts w:cs="Arial"/>
        </w:rPr>
        <w:t xml:space="preserve"> the industry.</w:t>
      </w:r>
    </w:p>
    <w:p w14:paraId="6AE4FA28" w14:textId="3737BFEA" w:rsidR="006A54E6" w:rsidRPr="006A54E6" w:rsidRDefault="006A54E6" w:rsidP="006A54E6">
      <w:pPr>
        <w:spacing w:line="264" w:lineRule="auto"/>
        <w:rPr>
          <w:rFonts w:cs="Arial"/>
        </w:rPr>
      </w:pPr>
      <w:r w:rsidRPr="006A54E6">
        <w:rPr>
          <w:rFonts w:cs="Arial"/>
        </w:rPr>
        <w:t xml:space="preserve">Industry consultation has also been vital in receiving updates on </w:t>
      </w:r>
      <w:r w:rsidR="00BC5360">
        <w:rPr>
          <w:rFonts w:cs="Arial"/>
        </w:rPr>
        <w:t xml:space="preserve">specific </w:t>
      </w:r>
      <w:r w:rsidRPr="006A54E6">
        <w:rPr>
          <w:rFonts w:cs="Arial"/>
        </w:rPr>
        <w:t xml:space="preserve">projects, industry perspectives on community engagement processes and how current planning and governance processes have impacted </w:t>
      </w:r>
      <w:r w:rsidR="00BC5360">
        <w:rPr>
          <w:rFonts w:cs="Arial"/>
        </w:rPr>
        <w:t>particular</w:t>
      </w:r>
      <w:r w:rsidRPr="006A54E6">
        <w:rPr>
          <w:rFonts w:cs="Arial"/>
        </w:rPr>
        <w:t xml:space="preserve"> projects and communities.</w:t>
      </w:r>
    </w:p>
    <w:p w14:paraId="258A5F6D" w14:textId="1991DF14" w:rsidR="00BC5360" w:rsidRDefault="006A54E6" w:rsidP="006A54E6">
      <w:pPr>
        <w:spacing w:line="264" w:lineRule="auto"/>
        <w:rPr>
          <w:rFonts w:cs="Arial"/>
        </w:rPr>
      </w:pPr>
      <w:r w:rsidRPr="006A54E6">
        <w:rPr>
          <w:rFonts w:cs="Arial"/>
        </w:rPr>
        <w:t xml:space="preserve">Given the number of proposed wind farms that </w:t>
      </w:r>
      <w:r w:rsidR="00DB03D3">
        <w:rPr>
          <w:rFonts w:cs="Arial"/>
        </w:rPr>
        <w:t xml:space="preserve">have been </w:t>
      </w:r>
      <w:r w:rsidR="00BC5360">
        <w:rPr>
          <w:rFonts w:cs="Arial"/>
        </w:rPr>
        <w:t>approv</w:t>
      </w:r>
      <w:r w:rsidR="00FC717E">
        <w:rPr>
          <w:rFonts w:cs="Arial"/>
        </w:rPr>
        <w:t>ed</w:t>
      </w:r>
      <w:r w:rsidR="00BC5360">
        <w:rPr>
          <w:rFonts w:cs="Arial"/>
        </w:rPr>
        <w:t xml:space="preserve"> in 2017</w:t>
      </w:r>
      <w:r w:rsidR="00DB03D3">
        <w:rPr>
          <w:rFonts w:cs="Arial"/>
        </w:rPr>
        <w:t xml:space="preserve"> and </w:t>
      </w:r>
      <w:r w:rsidR="0061645B">
        <w:rPr>
          <w:rFonts w:cs="Arial"/>
        </w:rPr>
        <w:t>have already</w:t>
      </w:r>
      <w:r w:rsidRPr="006A54E6">
        <w:rPr>
          <w:rFonts w:cs="Arial"/>
        </w:rPr>
        <w:t xml:space="preserve"> </w:t>
      </w:r>
      <w:r w:rsidRPr="00DB03D3">
        <w:rPr>
          <w:rFonts w:cs="Arial"/>
        </w:rPr>
        <w:t>commence</w:t>
      </w:r>
      <w:r w:rsidR="0061645B">
        <w:rPr>
          <w:rFonts w:cs="Arial"/>
        </w:rPr>
        <w:t>d</w:t>
      </w:r>
      <w:r w:rsidRPr="00DB03D3">
        <w:rPr>
          <w:rFonts w:cs="Arial"/>
        </w:rPr>
        <w:t xml:space="preserve"> construction</w:t>
      </w:r>
      <w:r w:rsidRPr="006A54E6">
        <w:rPr>
          <w:rFonts w:cs="Arial"/>
        </w:rPr>
        <w:t xml:space="preserve"> </w:t>
      </w:r>
      <w:r w:rsidR="0061645B">
        <w:rPr>
          <w:rFonts w:cs="Arial"/>
        </w:rPr>
        <w:t xml:space="preserve">works </w:t>
      </w:r>
      <w:r w:rsidRPr="006A54E6">
        <w:rPr>
          <w:rFonts w:cs="Arial"/>
        </w:rPr>
        <w:t>acros</w:t>
      </w:r>
      <w:r w:rsidR="00DB03D3">
        <w:rPr>
          <w:rFonts w:cs="Arial"/>
        </w:rPr>
        <w:t>s Australia</w:t>
      </w:r>
      <w:r w:rsidRPr="006A54E6">
        <w:rPr>
          <w:rFonts w:cs="Arial"/>
        </w:rPr>
        <w:t xml:space="preserve">, </w:t>
      </w:r>
      <w:r w:rsidR="00DB03D3">
        <w:rPr>
          <w:rFonts w:cs="Arial"/>
        </w:rPr>
        <w:t>an important priority for the Office is to ensure</w:t>
      </w:r>
      <w:r w:rsidR="00E26F87">
        <w:rPr>
          <w:rFonts w:cs="Arial"/>
        </w:rPr>
        <w:t xml:space="preserve"> </w:t>
      </w:r>
      <w:r w:rsidRPr="006A54E6">
        <w:rPr>
          <w:rFonts w:cs="Arial"/>
        </w:rPr>
        <w:t xml:space="preserve">that all </w:t>
      </w:r>
      <w:r w:rsidR="00E26F87">
        <w:rPr>
          <w:rFonts w:cs="Arial"/>
        </w:rPr>
        <w:t>wind farm proponents</w:t>
      </w:r>
      <w:r w:rsidRPr="006A54E6">
        <w:rPr>
          <w:rFonts w:cs="Arial"/>
        </w:rPr>
        <w:t xml:space="preserve"> are aware of best practices in relation to community engagement and </w:t>
      </w:r>
      <w:r w:rsidR="00FC717E">
        <w:rPr>
          <w:rFonts w:cs="Arial"/>
        </w:rPr>
        <w:t xml:space="preserve">compliance with </w:t>
      </w:r>
      <w:r w:rsidRPr="006A54E6">
        <w:rPr>
          <w:rFonts w:cs="Arial"/>
        </w:rPr>
        <w:t xml:space="preserve">planning </w:t>
      </w:r>
      <w:r w:rsidR="00FC717E">
        <w:rPr>
          <w:rFonts w:cs="Arial"/>
        </w:rPr>
        <w:t xml:space="preserve">requirements. </w:t>
      </w:r>
    </w:p>
    <w:p w14:paraId="7FFEC0CE" w14:textId="5D8A7A37" w:rsidR="00D136BA" w:rsidRPr="00D136BA" w:rsidRDefault="00BC5360" w:rsidP="00BC5360">
      <w:pPr>
        <w:spacing w:line="264" w:lineRule="auto"/>
        <w:rPr>
          <w:rFonts w:cs="Arial"/>
        </w:rPr>
      </w:pPr>
      <w:r>
        <w:rPr>
          <w:rFonts w:cs="Arial"/>
        </w:rPr>
        <w:t xml:space="preserve">As a result, </w:t>
      </w:r>
      <w:r w:rsidR="003B4A65">
        <w:rPr>
          <w:rFonts w:cs="Arial"/>
        </w:rPr>
        <w:t>the</w:t>
      </w:r>
      <w:r w:rsidR="00AF458D">
        <w:rPr>
          <w:rFonts w:cs="Arial"/>
        </w:rPr>
        <w:t xml:space="preserve"> Office has </w:t>
      </w:r>
      <w:r>
        <w:rPr>
          <w:rFonts w:cs="Arial"/>
        </w:rPr>
        <w:t>me</w:t>
      </w:r>
      <w:r w:rsidR="00FC717E">
        <w:rPr>
          <w:rFonts w:cs="Arial"/>
        </w:rPr>
        <w:t>t</w:t>
      </w:r>
      <w:r w:rsidR="00AF458D">
        <w:rPr>
          <w:rFonts w:cs="Arial"/>
        </w:rPr>
        <w:t xml:space="preserve"> with </w:t>
      </w:r>
      <w:r w:rsidR="00FC717E">
        <w:rPr>
          <w:rFonts w:cs="Arial"/>
        </w:rPr>
        <w:t xml:space="preserve">most of the industry’s </w:t>
      </w:r>
      <w:r w:rsidR="00AF458D">
        <w:rPr>
          <w:rFonts w:cs="Arial"/>
        </w:rPr>
        <w:t xml:space="preserve">proponents to </w:t>
      </w:r>
      <w:r w:rsidR="00AF458D" w:rsidRPr="000F516F">
        <w:rPr>
          <w:rFonts w:cs="Arial"/>
        </w:rPr>
        <w:t xml:space="preserve">obtain detailed </w:t>
      </w:r>
      <w:r w:rsidR="00FC717E">
        <w:rPr>
          <w:rFonts w:cs="Arial"/>
        </w:rPr>
        <w:t xml:space="preserve">project and company </w:t>
      </w:r>
      <w:r w:rsidR="00AF458D" w:rsidRPr="000F516F">
        <w:rPr>
          <w:rFonts w:cs="Arial"/>
        </w:rPr>
        <w:t>briefings a</w:t>
      </w:r>
      <w:r w:rsidR="00FC717E">
        <w:rPr>
          <w:rFonts w:cs="Arial"/>
        </w:rPr>
        <w:t xml:space="preserve">s well as review approaches and </w:t>
      </w:r>
      <w:r w:rsidR="00AF458D" w:rsidRPr="000F516F">
        <w:rPr>
          <w:rFonts w:cs="Arial"/>
        </w:rPr>
        <w:t xml:space="preserve">practices that may minimise </w:t>
      </w:r>
      <w:r w:rsidR="00FC717E">
        <w:rPr>
          <w:rFonts w:cs="Arial"/>
        </w:rPr>
        <w:t>p</w:t>
      </w:r>
      <w:r w:rsidR="00AF458D" w:rsidRPr="000F516F">
        <w:rPr>
          <w:rFonts w:cs="Arial"/>
        </w:rPr>
        <w:t xml:space="preserve">otential </w:t>
      </w:r>
      <w:r w:rsidR="0061645B">
        <w:rPr>
          <w:rFonts w:cs="Arial"/>
        </w:rPr>
        <w:t xml:space="preserve">issues emerging in relation to </w:t>
      </w:r>
      <w:r w:rsidR="00AF458D" w:rsidRPr="000F516F">
        <w:rPr>
          <w:rFonts w:cs="Arial"/>
        </w:rPr>
        <w:t>project</w:t>
      </w:r>
      <w:r w:rsidR="0061645B">
        <w:rPr>
          <w:rFonts w:cs="Arial"/>
        </w:rPr>
        <w:t>s</w:t>
      </w:r>
      <w:r w:rsidR="00AF458D">
        <w:rPr>
          <w:rFonts w:cs="Arial"/>
        </w:rPr>
        <w:t>.</w:t>
      </w:r>
      <w:r>
        <w:rPr>
          <w:rFonts w:cs="Arial"/>
        </w:rPr>
        <w:t xml:space="preserve"> </w:t>
      </w:r>
      <w:r w:rsidR="00CF60E1" w:rsidRPr="00D136BA">
        <w:rPr>
          <w:rFonts w:cs="Arial"/>
        </w:rPr>
        <w:t>For example,</w:t>
      </w:r>
      <w:r w:rsidR="00CF60E1">
        <w:rPr>
          <w:rFonts w:cs="Arial"/>
        </w:rPr>
        <w:t xml:space="preserve"> the Commissioner has met with wind farm proponents </w:t>
      </w:r>
      <w:r w:rsidR="005B70CD">
        <w:rPr>
          <w:rFonts w:cs="Arial"/>
        </w:rPr>
        <w:t>to provide guidance in developing</w:t>
      </w:r>
      <w:r w:rsidR="00CF60E1">
        <w:rPr>
          <w:rFonts w:cs="Arial"/>
        </w:rPr>
        <w:t>:</w:t>
      </w:r>
    </w:p>
    <w:p w14:paraId="5F7E993C" w14:textId="386DC52F" w:rsidR="005E55A1" w:rsidRPr="005E55A1" w:rsidRDefault="005E55A1" w:rsidP="00D35B01">
      <w:pPr>
        <w:pStyle w:val="ListParagraph"/>
        <w:numPr>
          <w:ilvl w:val="0"/>
          <w:numId w:val="34"/>
        </w:numPr>
        <w:rPr>
          <w:rFonts w:cs="Arial"/>
          <w:i/>
        </w:rPr>
      </w:pPr>
      <w:r>
        <w:rPr>
          <w:rFonts w:cs="Arial"/>
        </w:rPr>
        <w:t>approaches to resolve specific complaints within communities</w:t>
      </w:r>
    </w:p>
    <w:p w14:paraId="34E154C8" w14:textId="77777777" w:rsidR="005E55A1" w:rsidRPr="005E55A1" w:rsidRDefault="005E55A1" w:rsidP="00D35B01">
      <w:pPr>
        <w:pStyle w:val="ListParagraph"/>
        <w:numPr>
          <w:ilvl w:val="0"/>
          <w:numId w:val="34"/>
        </w:numPr>
        <w:rPr>
          <w:rFonts w:cs="Arial"/>
          <w:i/>
        </w:rPr>
      </w:pPr>
      <w:r>
        <w:rPr>
          <w:rFonts w:cs="Arial"/>
        </w:rPr>
        <w:t>i</w:t>
      </w:r>
      <w:r w:rsidRPr="00D136BA">
        <w:rPr>
          <w:rFonts w:cs="Arial"/>
        </w:rPr>
        <w:t>nnovative solutions to provide benefits to local communities aff</w:t>
      </w:r>
      <w:r>
        <w:rPr>
          <w:rFonts w:cs="Arial"/>
        </w:rPr>
        <w:t>ected by wind farm developments</w:t>
      </w:r>
    </w:p>
    <w:p w14:paraId="7DE1ACD1" w14:textId="73774218" w:rsidR="005B70CD" w:rsidRPr="005B70CD" w:rsidRDefault="00D136BA" w:rsidP="00D35B01">
      <w:pPr>
        <w:pStyle w:val="ListParagraph"/>
        <w:numPr>
          <w:ilvl w:val="0"/>
          <w:numId w:val="34"/>
        </w:numPr>
        <w:rPr>
          <w:rFonts w:cs="Arial"/>
          <w:i/>
        </w:rPr>
      </w:pPr>
      <w:r w:rsidRPr="00D136BA">
        <w:rPr>
          <w:rFonts w:cs="Arial"/>
        </w:rPr>
        <w:t>com</w:t>
      </w:r>
      <w:r w:rsidR="005B70CD">
        <w:rPr>
          <w:rFonts w:cs="Arial"/>
        </w:rPr>
        <w:t>plaint handling policies and procedures</w:t>
      </w:r>
    </w:p>
    <w:p w14:paraId="4E05A997" w14:textId="412F7C38" w:rsidR="00D136BA" w:rsidRPr="00E70B5C" w:rsidRDefault="005B70CD" w:rsidP="00D35B01">
      <w:pPr>
        <w:pStyle w:val="ListParagraph"/>
        <w:numPr>
          <w:ilvl w:val="0"/>
          <w:numId w:val="34"/>
        </w:numPr>
        <w:rPr>
          <w:rFonts w:cs="Arial"/>
          <w:i/>
        </w:rPr>
      </w:pPr>
      <w:r>
        <w:rPr>
          <w:rFonts w:cs="Arial"/>
        </w:rPr>
        <w:t xml:space="preserve">transparent </w:t>
      </w:r>
      <w:r w:rsidR="0022537A">
        <w:rPr>
          <w:rFonts w:cs="Arial"/>
        </w:rPr>
        <w:t>noise assessment regimes</w:t>
      </w:r>
    </w:p>
    <w:p w14:paraId="79CF42F2" w14:textId="166EF837" w:rsidR="00E70B5C" w:rsidRPr="00D136BA" w:rsidRDefault="00E70B5C" w:rsidP="00D35B01">
      <w:pPr>
        <w:pStyle w:val="ListParagraph"/>
        <w:numPr>
          <w:ilvl w:val="0"/>
          <w:numId w:val="34"/>
        </w:numPr>
        <w:rPr>
          <w:rFonts w:cs="Arial"/>
          <w:i/>
        </w:rPr>
      </w:pPr>
      <w:r>
        <w:rPr>
          <w:rFonts w:cs="Arial"/>
        </w:rPr>
        <w:t>best practice approaches to managing set-back distances</w:t>
      </w:r>
    </w:p>
    <w:p w14:paraId="21F72B19" w14:textId="40462ECF" w:rsidR="00D136BA" w:rsidRPr="005E55A1" w:rsidRDefault="00D136BA" w:rsidP="005E55A1">
      <w:pPr>
        <w:pStyle w:val="ListParagraph"/>
        <w:numPr>
          <w:ilvl w:val="0"/>
          <w:numId w:val="34"/>
        </w:numPr>
        <w:rPr>
          <w:rFonts w:cs="Arial"/>
          <w:i/>
        </w:rPr>
      </w:pPr>
      <w:r>
        <w:rPr>
          <w:rFonts w:cs="Arial"/>
        </w:rPr>
        <w:t>e</w:t>
      </w:r>
      <w:r w:rsidRPr="00D136BA">
        <w:rPr>
          <w:rFonts w:cs="Arial"/>
        </w:rPr>
        <w:t xml:space="preserve">ffective </w:t>
      </w:r>
      <w:r>
        <w:rPr>
          <w:rFonts w:cs="Arial"/>
        </w:rPr>
        <w:t>and fair commercial</w:t>
      </w:r>
      <w:r w:rsidRPr="00D136BA">
        <w:rPr>
          <w:rFonts w:cs="Arial"/>
        </w:rPr>
        <w:t xml:space="preserve"> agreements</w:t>
      </w:r>
      <w:r>
        <w:rPr>
          <w:rFonts w:cs="Arial"/>
        </w:rPr>
        <w:t xml:space="preserve"> with wind farm hosts and neighbours, including </w:t>
      </w:r>
      <w:r w:rsidRPr="00D136BA">
        <w:rPr>
          <w:rFonts w:cs="Arial"/>
        </w:rPr>
        <w:t>negotiations that are fair and reasonable for affected community members</w:t>
      </w:r>
      <w:r w:rsidR="005E55A1">
        <w:rPr>
          <w:rFonts w:cs="Arial"/>
        </w:rPr>
        <w:t xml:space="preserve">, </w:t>
      </w:r>
      <w:r w:rsidRPr="005E55A1">
        <w:rPr>
          <w:rFonts w:cs="Arial"/>
        </w:rPr>
        <w:t>and</w:t>
      </w:r>
    </w:p>
    <w:p w14:paraId="41270F4E" w14:textId="7B9A7088" w:rsidR="00D136BA" w:rsidRPr="00D136BA" w:rsidRDefault="00D136BA" w:rsidP="00D35B01">
      <w:pPr>
        <w:pStyle w:val="ListParagraph"/>
        <w:numPr>
          <w:ilvl w:val="0"/>
          <w:numId w:val="34"/>
        </w:numPr>
        <w:rPr>
          <w:rFonts w:cs="Arial"/>
          <w:i/>
        </w:rPr>
      </w:pPr>
      <w:r w:rsidRPr="00D136BA">
        <w:rPr>
          <w:rFonts w:cs="Arial"/>
        </w:rPr>
        <w:t xml:space="preserve">emergency </w:t>
      </w:r>
      <w:r w:rsidR="0074209F">
        <w:rPr>
          <w:rFonts w:cs="Arial"/>
        </w:rPr>
        <w:t xml:space="preserve">management </w:t>
      </w:r>
      <w:r w:rsidR="0022537A">
        <w:rPr>
          <w:rFonts w:cs="Arial"/>
        </w:rPr>
        <w:t>procedures</w:t>
      </w:r>
      <w:r w:rsidR="0074209F">
        <w:rPr>
          <w:rFonts w:cs="Arial"/>
        </w:rPr>
        <w:t xml:space="preserve"> for wind farms in the case of inciden</w:t>
      </w:r>
      <w:r w:rsidR="00FC717E">
        <w:rPr>
          <w:rFonts w:cs="Arial"/>
        </w:rPr>
        <w:t>t</w:t>
      </w:r>
      <w:r w:rsidR="0074209F">
        <w:rPr>
          <w:rFonts w:cs="Arial"/>
        </w:rPr>
        <w:t xml:space="preserve">s such as </w:t>
      </w:r>
      <w:r w:rsidRPr="00D136BA">
        <w:rPr>
          <w:rFonts w:cs="Arial"/>
        </w:rPr>
        <w:t>bushfire</w:t>
      </w:r>
      <w:r w:rsidR="0074209F">
        <w:rPr>
          <w:rFonts w:cs="Arial"/>
        </w:rPr>
        <w:t>s</w:t>
      </w:r>
      <w:r w:rsidRPr="00D136BA">
        <w:rPr>
          <w:rFonts w:cs="Arial"/>
        </w:rPr>
        <w:t xml:space="preserve">, </w:t>
      </w:r>
      <w:r w:rsidR="00FC717E">
        <w:rPr>
          <w:rFonts w:cs="Arial"/>
        </w:rPr>
        <w:t xml:space="preserve">including </w:t>
      </w:r>
      <w:r w:rsidRPr="00D136BA">
        <w:rPr>
          <w:rFonts w:cs="Arial"/>
        </w:rPr>
        <w:t>practical measures to minimise the risk of disturbance to firefighting operations</w:t>
      </w:r>
      <w:r>
        <w:rPr>
          <w:rFonts w:cs="Arial"/>
        </w:rPr>
        <w:t>.</w:t>
      </w:r>
    </w:p>
    <w:p w14:paraId="62557D72" w14:textId="439049C8" w:rsidR="0052117D" w:rsidRPr="0052117D" w:rsidRDefault="003B4A65" w:rsidP="0052117D">
      <w:pPr>
        <w:rPr>
          <w:rFonts w:cs="Arial"/>
        </w:rPr>
      </w:pPr>
      <w:r>
        <w:rPr>
          <w:rFonts w:cs="Arial"/>
        </w:rPr>
        <w:t>The</w:t>
      </w:r>
      <w:r w:rsidR="0052117D" w:rsidRPr="0052117D">
        <w:rPr>
          <w:rFonts w:cs="Arial"/>
        </w:rPr>
        <w:t xml:space="preserve"> Office has also encouraged industry to improve the availability of information on their own respective websites. The positive response from</w:t>
      </w:r>
      <w:r w:rsidR="005B70CD">
        <w:rPr>
          <w:rFonts w:cs="Arial"/>
        </w:rPr>
        <w:t xml:space="preserve"> industry</w:t>
      </w:r>
      <w:r w:rsidR="0052117D" w:rsidRPr="0052117D">
        <w:rPr>
          <w:rFonts w:cs="Arial"/>
        </w:rPr>
        <w:t xml:space="preserve"> stakeholders so far has helped enable community members </w:t>
      </w:r>
      <w:r w:rsidR="0061645B">
        <w:rPr>
          <w:rFonts w:cs="Arial"/>
        </w:rPr>
        <w:t xml:space="preserve">to </w:t>
      </w:r>
      <w:r w:rsidR="0052117D" w:rsidRPr="0052117D">
        <w:rPr>
          <w:rFonts w:cs="Arial"/>
        </w:rPr>
        <w:t>have greater access to information about wind farm projects.</w:t>
      </w:r>
    </w:p>
    <w:p w14:paraId="517A03B7" w14:textId="699E66A0" w:rsidR="00080CEC" w:rsidRPr="000F516F" w:rsidRDefault="0052117D" w:rsidP="00080CEC">
      <w:pPr>
        <w:spacing w:before="120"/>
        <w:rPr>
          <w:rFonts w:cs="Arial"/>
        </w:rPr>
      </w:pPr>
      <w:r w:rsidRPr="0052117D">
        <w:rPr>
          <w:rFonts w:cs="Arial"/>
        </w:rPr>
        <w:t xml:space="preserve">Encouragingly, </w:t>
      </w:r>
      <w:r>
        <w:rPr>
          <w:rFonts w:cs="Arial"/>
        </w:rPr>
        <w:t>industry has</w:t>
      </w:r>
      <w:r w:rsidR="00E70B5C">
        <w:rPr>
          <w:rFonts w:cs="Arial"/>
        </w:rPr>
        <w:t xml:space="preserve"> also proactively </w:t>
      </w:r>
      <w:r w:rsidRPr="0052117D">
        <w:rPr>
          <w:rFonts w:cs="Arial"/>
        </w:rPr>
        <w:t xml:space="preserve">reached out to </w:t>
      </w:r>
      <w:r w:rsidR="003B4A65">
        <w:rPr>
          <w:rFonts w:cs="Arial"/>
        </w:rPr>
        <w:t>the</w:t>
      </w:r>
      <w:r w:rsidRPr="0052117D">
        <w:rPr>
          <w:rFonts w:cs="Arial"/>
        </w:rPr>
        <w:t xml:space="preserve"> Office</w:t>
      </w:r>
      <w:r w:rsidR="00E70B5C">
        <w:rPr>
          <w:rFonts w:cs="Arial"/>
        </w:rPr>
        <w:t xml:space="preserve">, seeking </w:t>
      </w:r>
      <w:r w:rsidR="005B70CD" w:rsidRPr="0052117D">
        <w:rPr>
          <w:rFonts w:cs="Arial"/>
        </w:rPr>
        <w:t xml:space="preserve">input </w:t>
      </w:r>
      <w:r w:rsidRPr="0052117D">
        <w:rPr>
          <w:rFonts w:cs="Arial"/>
        </w:rPr>
        <w:t>on a wide range</w:t>
      </w:r>
      <w:r w:rsidR="005B70CD">
        <w:rPr>
          <w:rFonts w:cs="Arial"/>
        </w:rPr>
        <w:t xml:space="preserve"> of</w:t>
      </w:r>
      <w:r w:rsidRPr="0052117D">
        <w:rPr>
          <w:rFonts w:cs="Arial"/>
        </w:rPr>
        <w:t xml:space="preserve"> </w:t>
      </w:r>
      <w:r w:rsidR="005B70CD">
        <w:rPr>
          <w:rFonts w:cs="Arial"/>
        </w:rPr>
        <w:t>issues</w:t>
      </w:r>
      <w:r>
        <w:rPr>
          <w:rFonts w:cs="Arial"/>
        </w:rPr>
        <w:t>.</w:t>
      </w:r>
      <w:r w:rsidR="00080CEC" w:rsidRPr="000F516F">
        <w:rPr>
          <w:rFonts w:cs="Arial"/>
        </w:rPr>
        <w:t xml:space="preserve"> The Commissioner </w:t>
      </w:r>
      <w:r>
        <w:rPr>
          <w:rFonts w:cs="Arial"/>
        </w:rPr>
        <w:t xml:space="preserve">has </w:t>
      </w:r>
      <w:r w:rsidR="00E70B5C">
        <w:rPr>
          <w:rFonts w:cs="Arial"/>
        </w:rPr>
        <w:t xml:space="preserve">welcomed such discussions and </w:t>
      </w:r>
      <w:r w:rsidR="00080CEC" w:rsidRPr="000F516F">
        <w:rPr>
          <w:rFonts w:cs="Arial"/>
        </w:rPr>
        <w:t xml:space="preserve">provided </w:t>
      </w:r>
      <w:r w:rsidR="00E70B5C">
        <w:rPr>
          <w:rFonts w:cs="Arial"/>
        </w:rPr>
        <w:t xml:space="preserve">ongoing </w:t>
      </w:r>
      <w:r w:rsidR="00080CEC" w:rsidRPr="000F516F">
        <w:rPr>
          <w:rFonts w:cs="Arial"/>
        </w:rPr>
        <w:t>suggestions and guidance for consideration</w:t>
      </w:r>
      <w:r w:rsidR="00E70B5C">
        <w:rPr>
          <w:rFonts w:cs="Arial"/>
        </w:rPr>
        <w:t xml:space="preserve"> in response</w:t>
      </w:r>
      <w:r w:rsidR="005F5472">
        <w:rPr>
          <w:rFonts w:cs="Arial"/>
        </w:rPr>
        <w:t>.</w:t>
      </w:r>
    </w:p>
    <w:p w14:paraId="50ED55FA" w14:textId="53A161FE" w:rsidR="00080CEC" w:rsidRPr="000F516F" w:rsidRDefault="00080CEC" w:rsidP="00080CEC">
      <w:pPr>
        <w:spacing w:before="120"/>
        <w:rPr>
          <w:rFonts w:cs="Arial"/>
        </w:rPr>
      </w:pPr>
      <w:r w:rsidRPr="000F516F">
        <w:rPr>
          <w:rFonts w:cs="Arial"/>
        </w:rPr>
        <w:t xml:space="preserve">Industry members have welcomed such discussions and assistance, with many developers remaining in regular contact with </w:t>
      </w:r>
      <w:r w:rsidR="003B4A65">
        <w:rPr>
          <w:rFonts w:cs="Arial"/>
        </w:rPr>
        <w:t>the</w:t>
      </w:r>
      <w:r w:rsidRPr="000F516F">
        <w:rPr>
          <w:rFonts w:cs="Arial"/>
        </w:rPr>
        <w:t xml:space="preserve"> Office to </w:t>
      </w:r>
      <w:r w:rsidR="00AF458D">
        <w:rPr>
          <w:rFonts w:cs="Arial"/>
        </w:rPr>
        <w:t xml:space="preserve">provide progress </w:t>
      </w:r>
      <w:r w:rsidRPr="000F516F">
        <w:rPr>
          <w:rFonts w:cs="Arial"/>
        </w:rPr>
        <w:t>update</w:t>
      </w:r>
      <w:r w:rsidR="00AF458D">
        <w:rPr>
          <w:rFonts w:cs="Arial"/>
        </w:rPr>
        <w:t>s</w:t>
      </w:r>
      <w:r w:rsidRPr="000F516F">
        <w:rPr>
          <w:rFonts w:cs="Arial"/>
        </w:rPr>
        <w:t xml:space="preserve"> </w:t>
      </w:r>
      <w:r w:rsidR="00910FD3">
        <w:rPr>
          <w:rFonts w:cs="Arial"/>
        </w:rPr>
        <w:t xml:space="preserve">and </w:t>
      </w:r>
      <w:r w:rsidR="00AF458D">
        <w:rPr>
          <w:rFonts w:cs="Arial"/>
        </w:rPr>
        <w:t xml:space="preserve">report the </w:t>
      </w:r>
      <w:r w:rsidR="00910FD3">
        <w:rPr>
          <w:rFonts w:cs="Arial"/>
        </w:rPr>
        <w:t xml:space="preserve">resolution of </w:t>
      </w:r>
      <w:r w:rsidRPr="000F516F">
        <w:rPr>
          <w:rFonts w:cs="Arial"/>
        </w:rPr>
        <w:t xml:space="preserve">issues. The response from many of these proponents </w:t>
      </w:r>
      <w:r w:rsidR="00E70B5C">
        <w:rPr>
          <w:rFonts w:cs="Arial"/>
        </w:rPr>
        <w:t>would indicate that</w:t>
      </w:r>
      <w:r w:rsidRPr="000F516F">
        <w:rPr>
          <w:rFonts w:cs="Arial"/>
        </w:rPr>
        <w:t xml:space="preserve"> industry </w:t>
      </w:r>
      <w:r w:rsidR="00910FD3">
        <w:rPr>
          <w:rFonts w:cs="Arial"/>
        </w:rPr>
        <w:t xml:space="preserve">values </w:t>
      </w:r>
      <w:r w:rsidRPr="000F516F">
        <w:rPr>
          <w:rFonts w:cs="Arial"/>
        </w:rPr>
        <w:t>the work of the Office</w:t>
      </w:r>
      <w:r w:rsidR="00E70B5C">
        <w:rPr>
          <w:rFonts w:cs="Arial"/>
        </w:rPr>
        <w:t xml:space="preserve">, evidenced by the time taken to meet with the Office and their </w:t>
      </w:r>
      <w:r w:rsidRPr="000F516F">
        <w:rPr>
          <w:rFonts w:cs="Arial"/>
        </w:rPr>
        <w:t>adopti</w:t>
      </w:r>
      <w:r w:rsidR="00E70B5C">
        <w:rPr>
          <w:rFonts w:cs="Arial"/>
        </w:rPr>
        <w:t xml:space="preserve">on of </w:t>
      </w:r>
      <w:r w:rsidR="00910FD3">
        <w:rPr>
          <w:rFonts w:cs="Arial"/>
        </w:rPr>
        <w:t xml:space="preserve">many of </w:t>
      </w:r>
      <w:r w:rsidRPr="000F516F">
        <w:rPr>
          <w:rFonts w:cs="Arial"/>
        </w:rPr>
        <w:t>the Commissioner’s suggestions.</w:t>
      </w:r>
    </w:p>
    <w:p w14:paraId="5DD23D54" w14:textId="186C8C8C" w:rsidR="002A63CB" w:rsidRPr="006B02BB" w:rsidRDefault="005F5472" w:rsidP="002A63CB">
      <w:pPr>
        <w:spacing w:after="240"/>
        <w:rPr>
          <w:rFonts w:cs="Arial"/>
          <w:highlight w:val="yellow"/>
        </w:rPr>
      </w:pPr>
      <w:r w:rsidRPr="005F5472">
        <w:rPr>
          <w:rFonts w:cs="Arial"/>
        </w:rPr>
        <w:t xml:space="preserve">The </w:t>
      </w:r>
      <w:r>
        <w:rPr>
          <w:rFonts w:cs="Arial"/>
        </w:rPr>
        <w:t xml:space="preserve">Office </w:t>
      </w:r>
      <w:r w:rsidRPr="005F5472">
        <w:rPr>
          <w:rFonts w:cs="Arial"/>
        </w:rPr>
        <w:t xml:space="preserve">has also </w:t>
      </w:r>
      <w:r w:rsidR="002A63CB" w:rsidRPr="002A63CB">
        <w:rPr>
          <w:rFonts w:cs="Arial"/>
        </w:rPr>
        <w:t xml:space="preserve">engaged with and regularly presented to </w:t>
      </w:r>
      <w:r w:rsidRPr="005F5472">
        <w:rPr>
          <w:rFonts w:cs="Arial"/>
        </w:rPr>
        <w:t>industry association</w:t>
      </w:r>
      <w:r w:rsidR="00C03AB4">
        <w:rPr>
          <w:rFonts w:cs="Arial"/>
        </w:rPr>
        <w:t>s</w:t>
      </w:r>
      <w:r w:rsidRPr="005F5472">
        <w:rPr>
          <w:rFonts w:cs="Arial"/>
        </w:rPr>
        <w:t xml:space="preserve"> </w:t>
      </w:r>
      <w:r w:rsidR="0061645B">
        <w:rPr>
          <w:rFonts w:cs="Arial"/>
        </w:rPr>
        <w:t xml:space="preserve">such as </w:t>
      </w:r>
      <w:r w:rsidR="00B100A4">
        <w:rPr>
          <w:rFonts w:cs="Arial"/>
        </w:rPr>
        <w:t xml:space="preserve">the </w:t>
      </w:r>
      <w:r w:rsidR="00C03AB4">
        <w:rPr>
          <w:rFonts w:cs="Arial"/>
        </w:rPr>
        <w:t xml:space="preserve">Clean Energy Council’s </w:t>
      </w:r>
      <w:r w:rsidR="00B100A4">
        <w:rPr>
          <w:rFonts w:cs="Arial"/>
        </w:rPr>
        <w:t>Wind Directorate</w:t>
      </w:r>
      <w:r w:rsidR="00C03AB4">
        <w:rPr>
          <w:rFonts w:cs="Arial"/>
        </w:rPr>
        <w:t xml:space="preserve">. These forums enable the Commissioner to keep the leadership of the </w:t>
      </w:r>
      <w:r w:rsidR="00C03AB4">
        <w:rPr>
          <w:rFonts w:cs="Arial"/>
        </w:rPr>
        <w:lastRenderedPageBreak/>
        <w:t xml:space="preserve">wind industry across the activities and findings of the Office and engage the industry on </w:t>
      </w:r>
      <w:r w:rsidR="00910FD3">
        <w:rPr>
          <w:rFonts w:cs="Arial"/>
        </w:rPr>
        <w:t xml:space="preserve">systemic </w:t>
      </w:r>
      <w:r w:rsidR="004B599F">
        <w:rPr>
          <w:rFonts w:cs="Arial"/>
        </w:rPr>
        <w:t>and</w:t>
      </w:r>
      <w:r w:rsidRPr="005F5472">
        <w:rPr>
          <w:rFonts w:cs="Arial"/>
        </w:rPr>
        <w:t xml:space="preserve"> </w:t>
      </w:r>
      <w:r w:rsidR="00C03AB4">
        <w:rPr>
          <w:rFonts w:cs="Arial"/>
        </w:rPr>
        <w:t>emerging issues</w:t>
      </w:r>
      <w:r w:rsidR="002A63CB" w:rsidRPr="002A63CB">
        <w:rPr>
          <w:rFonts w:cs="Arial"/>
        </w:rPr>
        <w:t>.</w:t>
      </w:r>
    </w:p>
    <w:p w14:paraId="20820DAF" w14:textId="3F79A29B" w:rsidR="005874E7" w:rsidRDefault="005874E7" w:rsidP="005874E7">
      <w:pPr>
        <w:pStyle w:val="Heading3"/>
      </w:pPr>
      <w:bookmarkStart w:id="23" w:name="_Toc511140617"/>
      <w:r w:rsidRPr="00F47E6D">
        <w:t>Government</w:t>
      </w:r>
      <w:bookmarkEnd w:id="23"/>
    </w:p>
    <w:p w14:paraId="799B5E8D" w14:textId="73479207" w:rsidR="00CF0A0A" w:rsidRPr="005F5472" w:rsidRDefault="00CF60E1" w:rsidP="00CF0A0A">
      <w:pPr>
        <w:spacing w:line="264" w:lineRule="auto"/>
        <w:rPr>
          <w:rFonts w:cs="Arial"/>
        </w:rPr>
      </w:pPr>
      <w:r>
        <w:rPr>
          <w:rFonts w:cs="Arial"/>
        </w:rPr>
        <w:t>Throughout 2017, the</w:t>
      </w:r>
      <w:r w:rsidRPr="00CF60E1">
        <w:rPr>
          <w:rFonts w:cs="Arial"/>
        </w:rPr>
        <w:t xml:space="preserve"> Commissioner has </w:t>
      </w:r>
      <w:r>
        <w:rPr>
          <w:rFonts w:cs="Arial"/>
        </w:rPr>
        <w:t xml:space="preserve">continued to </w:t>
      </w:r>
      <w:r w:rsidR="00C24507">
        <w:rPr>
          <w:rFonts w:cs="Arial"/>
        </w:rPr>
        <w:t>engage</w:t>
      </w:r>
      <w:r w:rsidRPr="00CF60E1">
        <w:rPr>
          <w:rFonts w:cs="Arial"/>
        </w:rPr>
        <w:t xml:space="preserve"> with a</w:t>
      </w:r>
      <w:r w:rsidR="00C24507">
        <w:rPr>
          <w:rFonts w:cs="Arial"/>
        </w:rPr>
        <w:t xml:space="preserve">ll levels of </w:t>
      </w:r>
      <w:r w:rsidR="001A3187">
        <w:rPr>
          <w:rFonts w:cs="Arial"/>
        </w:rPr>
        <w:t xml:space="preserve">government </w:t>
      </w:r>
      <w:r w:rsidRPr="00CF60E1">
        <w:rPr>
          <w:rFonts w:cs="Arial"/>
        </w:rPr>
        <w:t xml:space="preserve">to </w:t>
      </w:r>
      <w:r w:rsidR="00C24507">
        <w:rPr>
          <w:rFonts w:cs="Arial"/>
        </w:rPr>
        <w:t xml:space="preserve">identify </w:t>
      </w:r>
      <w:r w:rsidR="000953ED">
        <w:rPr>
          <w:rFonts w:cs="Arial"/>
        </w:rPr>
        <w:t xml:space="preserve">opportunities for </w:t>
      </w:r>
      <w:r w:rsidRPr="00CF60E1">
        <w:rPr>
          <w:rFonts w:cs="Arial"/>
        </w:rPr>
        <w:t>improve</w:t>
      </w:r>
      <w:r w:rsidR="000953ED">
        <w:rPr>
          <w:rFonts w:cs="Arial"/>
        </w:rPr>
        <w:t>d</w:t>
      </w:r>
      <w:r w:rsidRPr="00CF60E1">
        <w:rPr>
          <w:rFonts w:cs="Arial"/>
        </w:rPr>
        <w:t xml:space="preserve"> governance arrangements and ensure that appropriate processes are </w:t>
      </w:r>
      <w:r w:rsidR="000953ED">
        <w:rPr>
          <w:rFonts w:cs="Arial"/>
        </w:rPr>
        <w:t xml:space="preserve">being considered </w:t>
      </w:r>
      <w:r w:rsidRPr="00CF60E1">
        <w:rPr>
          <w:rFonts w:cs="Arial"/>
        </w:rPr>
        <w:t>for the planning, assessment and monitoring of wind farms.</w:t>
      </w:r>
      <w:r w:rsidR="00CF0A0A" w:rsidRPr="00CF0A0A">
        <w:rPr>
          <w:rFonts w:cs="Arial"/>
        </w:rPr>
        <w:t xml:space="preserve"> </w:t>
      </w:r>
      <w:r w:rsidR="00CF0A0A" w:rsidRPr="005F5472">
        <w:rPr>
          <w:rFonts w:cs="Arial"/>
        </w:rPr>
        <w:t xml:space="preserve">The Commissioner has also briefed </w:t>
      </w:r>
      <w:r w:rsidR="00C24507">
        <w:rPr>
          <w:rFonts w:cs="Arial"/>
        </w:rPr>
        <w:t>numerous members of</w:t>
      </w:r>
      <w:r w:rsidR="00CF0A0A" w:rsidRPr="005F5472">
        <w:rPr>
          <w:rFonts w:cs="Arial"/>
        </w:rPr>
        <w:t xml:space="preserve"> state and federal</w:t>
      </w:r>
      <w:r w:rsidR="00C24507">
        <w:rPr>
          <w:rFonts w:cs="Arial"/>
        </w:rPr>
        <w:t xml:space="preserve"> parliament</w:t>
      </w:r>
      <w:r w:rsidR="000953ED">
        <w:rPr>
          <w:rFonts w:cs="Arial"/>
        </w:rPr>
        <w:t>s,</w:t>
      </w:r>
      <w:r w:rsidR="00C24507">
        <w:rPr>
          <w:rFonts w:cs="Arial"/>
        </w:rPr>
        <w:t xml:space="preserve"> along with </w:t>
      </w:r>
      <w:r w:rsidR="000953ED">
        <w:rPr>
          <w:rFonts w:cs="Arial"/>
        </w:rPr>
        <w:t xml:space="preserve">the </w:t>
      </w:r>
      <w:r w:rsidR="00C24507">
        <w:rPr>
          <w:rFonts w:cs="Arial"/>
        </w:rPr>
        <w:t xml:space="preserve">relevant </w:t>
      </w:r>
      <w:r w:rsidR="00CF0A0A" w:rsidRPr="005F5472">
        <w:rPr>
          <w:rFonts w:cs="Arial"/>
        </w:rPr>
        <w:t>Ministers</w:t>
      </w:r>
      <w:r w:rsidR="000953ED">
        <w:rPr>
          <w:rFonts w:cs="Arial"/>
        </w:rPr>
        <w:t>,</w:t>
      </w:r>
      <w:r w:rsidR="00CF0A0A" w:rsidRPr="005F5472">
        <w:rPr>
          <w:rFonts w:cs="Arial"/>
        </w:rPr>
        <w:t xml:space="preserve"> </w:t>
      </w:r>
      <w:r w:rsidR="00C24507">
        <w:rPr>
          <w:rFonts w:cs="Arial"/>
        </w:rPr>
        <w:t xml:space="preserve">on </w:t>
      </w:r>
      <w:r w:rsidR="000953ED">
        <w:rPr>
          <w:rFonts w:cs="Arial"/>
        </w:rPr>
        <w:t xml:space="preserve">current </w:t>
      </w:r>
      <w:r w:rsidR="003E53CB">
        <w:rPr>
          <w:rFonts w:cs="Arial"/>
        </w:rPr>
        <w:t xml:space="preserve">issues as well as </w:t>
      </w:r>
      <w:r w:rsidR="00C24507">
        <w:rPr>
          <w:rFonts w:cs="Arial"/>
        </w:rPr>
        <w:t>pr</w:t>
      </w:r>
      <w:r w:rsidR="00CF0A0A" w:rsidRPr="005F5472">
        <w:rPr>
          <w:rFonts w:cs="Arial"/>
        </w:rPr>
        <w:t>oposed initiatives and reforms</w:t>
      </w:r>
      <w:r w:rsidR="000953ED">
        <w:rPr>
          <w:rFonts w:cs="Arial"/>
        </w:rPr>
        <w:t>.</w:t>
      </w:r>
    </w:p>
    <w:p w14:paraId="3B80640E" w14:textId="3A39099B" w:rsidR="00CF0A0A" w:rsidRDefault="003E53CB" w:rsidP="0084728C">
      <w:pPr>
        <w:spacing w:line="264" w:lineRule="auto"/>
        <w:rPr>
          <w:rFonts w:cs="Arial"/>
        </w:rPr>
      </w:pPr>
      <w:r>
        <w:rPr>
          <w:rFonts w:cs="Arial"/>
        </w:rPr>
        <w:t>Throughout 2017, the</w:t>
      </w:r>
      <w:r w:rsidR="00CF0A0A" w:rsidRPr="005F5472">
        <w:rPr>
          <w:rFonts w:cs="Arial"/>
        </w:rPr>
        <w:t xml:space="preserve"> Commissioner </w:t>
      </w:r>
      <w:r w:rsidR="00C24507">
        <w:rPr>
          <w:rFonts w:cs="Arial"/>
        </w:rPr>
        <w:t xml:space="preserve">met </w:t>
      </w:r>
      <w:r w:rsidR="00CF0A0A">
        <w:rPr>
          <w:rFonts w:cs="Arial"/>
        </w:rPr>
        <w:t>frequently</w:t>
      </w:r>
      <w:r w:rsidR="00E32206">
        <w:rPr>
          <w:rFonts w:cs="Arial"/>
        </w:rPr>
        <w:t xml:space="preserve"> </w:t>
      </w:r>
      <w:r w:rsidR="00CF0A0A">
        <w:rPr>
          <w:rFonts w:cs="Arial"/>
        </w:rPr>
        <w:t xml:space="preserve">with </w:t>
      </w:r>
      <w:r>
        <w:rPr>
          <w:rFonts w:cs="Arial"/>
        </w:rPr>
        <w:t xml:space="preserve">various </w:t>
      </w:r>
      <w:r w:rsidR="00CF0A0A" w:rsidRPr="005F5472">
        <w:rPr>
          <w:rFonts w:cs="Arial"/>
        </w:rPr>
        <w:t xml:space="preserve">federal agencies to discuss issues </w:t>
      </w:r>
      <w:r w:rsidR="00C24507">
        <w:rPr>
          <w:rFonts w:cs="Arial"/>
        </w:rPr>
        <w:t xml:space="preserve">and initiatives </w:t>
      </w:r>
      <w:r w:rsidR="00CF0A0A" w:rsidRPr="005F5472">
        <w:rPr>
          <w:rFonts w:cs="Arial"/>
        </w:rPr>
        <w:t xml:space="preserve">related to the industry. In particular, the Office has built </w:t>
      </w:r>
      <w:r w:rsidR="00E32206">
        <w:rPr>
          <w:rFonts w:cs="Arial"/>
        </w:rPr>
        <w:t>strong</w:t>
      </w:r>
      <w:r w:rsidR="00C24507">
        <w:rPr>
          <w:rFonts w:cs="Arial"/>
        </w:rPr>
        <w:t xml:space="preserve"> </w:t>
      </w:r>
      <w:r w:rsidR="00CF0A0A" w:rsidRPr="005F5472">
        <w:rPr>
          <w:rFonts w:cs="Arial"/>
        </w:rPr>
        <w:t>relationship</w:t>
      </w:r>
      <w:r w:rsidR="00C24507">
        <w:rPr>
          <w:rFonts w:cs="Arial"/>
        </w:rPr>
        <w:t>s</w:t>
      </w:r>
      <w:r w:rsidR="00CF0A0A" w:rsidRPr="005F5472">
        <w:rPr>
          <w:rFonts w:cs="Arial"/>
        </w:rPr>
        <w:t xml:space="preserve"> with the Clean Energy Finance Corporation (CEFC), the Clean Energy Regulator (CER)</w:t>
      </w:r>
      <w:r w:rsidR="00C24507">
        <w:rPr>
          <w:rFonts w:cs="Arial"/>
        </w:rPr>
        <w:t>, the Australian Renewable Energy Agency (ARENA)</w:t>
      </w:r>
      <w:r w:rsidR="00CF0A0A" w:rsidRPr="005F5472">
        <w:rPr>
          <w:rFonts w:cs="Arial"/>
        </w:rPr>
        <w:t xml:space="preserve"> and the Department of </w:t>
      </w:r>
      <w:r w:rsidR="00862BD1">
        <w:rPr>
          <w:rFonts w:cs="Arial"/>
        </w:rPr>
        <w:t xml:space="preserve">the </w:t>
      </w:r>
      <w:r w:rsidR="00CF0A0A" w:rsidRPr="005F5472">
        <w:rPr>
          <w:rFonts w:cs="Arial"/>
        </w:rPr>
        <w:t>Environment and Energy</w:t>
      </w:r>
      <w:r w:rsidR="00C24507">
        <w:rPr>
          <w:rFonts w:cs="Arial"/>
        </w:rPr>
        <w:t xml:space="preserve">, enabling collaborative approaches to </w:t>
      </w:r>
      <w:r w:rsidR="000953ED">
        <w:rPr>
          <w:rFonts w:cs="Arial"/>
        </w:rPr>
        <w:t>re</w:t>
      </w:r>
      <w:r w:rsidR="00C24507">
        <w:rPr>
          <w:rFonts w:cs="Arial"/>
        </w:rPr>
        <w:t xml:space="preserve">solve </w:t>
      </w:r>
      <w:r w:rsidR="000953ED">
        <w:rPr>
          <w:rFonts w:cs="Arial"/>
        </w:rPr>
        <w:t xml:space="preserve">common </w:t>
      </w:r>
      <w:r w:rsidR="00C24507">
        <w:rPr>
          <w:rFonts w:cs="Arial"/>
        </w:rPr>
        <w:t>issues and implement reforms.</w:t>
      </w:r>
    </w:p>
    <w:p w14:paraId="4A47D7A7" w14:textId="1EDBEAE5" w:rsidR="00044144" w:rsidRDefault="003E53CB" w:rsidP="00E32206">
      <w:pPr>
        <w:spacing w:line="264" w:lineRule="auto"/>
        <w:rPr>
          <w:rFonts w:cs="Arial"/>
        </w:rPr>
      </w:pPr>
      <w:r>
        <w:rPr>
          <w:rFonts w:cs="Arial"/>
        </w:rPr>
        <w:t>T</w:t>
      </w:r>
      <w:r w:rsidR="004E61B1" w:rsidRPr="005F5472">
        <w:rPr>
          <w:rFonts w:cs="Arial"/>
        </w:rPr>
        <w:t xml:space="preserve">he Commissioner </w:t>
      </w:r>
      <w:r>
        <w:rPr>
          <w:rFonts w:cs="Arial"/>
        </w:rPr>
        <w:t xml:space="preserve">also </w:t>
      </w:r>
      <w:r w:rsidR="004E61B1" w:rsidRPr="005F5472">
        <w:rPr>
          <w:rFonts w:cs="Arial"/>
        </w:rPr>
        <w:t xml:space="preserve">travelled to </w:t>
      </w:r>
      <w:r w:rsidR="004E61B1">
        <w:rPr>
          <w:rFonts w:cs="Arial"/>
        </w:rPr>
        <w:t xml:space="preserve">all states in Australia </w:t>
      </w:r>
      <w:r w:rsidR="005E55A1">
        <w:rPr>
          <w:rFonts w:cs="Arial"/>
        </w:rPr>
        <w:t xml:space="preserve">in 2017 </w:t>
      </w:r>
      <w:r w:rsidR="004E61B1">
        <w:rPr>
          <w:rFonts w:cs="Arial"/>
        </w:rPr>
        <w:t>to meet with government representatives</w:t>
      </w:r>
      <w:r w:rsidR="000953ED">
        <w:rPr>
          <w:rFonts w:cs="Arial"/>
        </w:rPr>
        <w:t>, providing briefing</w:t>
      </w:r>
      <w:r w:rsidR="0061645B">
        <w:rPr>
          <w:rFonts w:cs="Arial"/>
        </w:rPr>
        <w:t>s on the 2016 Annual R</w:t>
      </w:r>
      <w:r w:rsidR="000953ED">
        <w:rPr>
          <w:rFonts w:cs="Arial"/>
        </w:rPr>
        <w:t>eport and its preliminary recommendations</w:t>
      </w:r>
      <w:r w:rsidR="002A63CB">
        <w:rPr>
          <w:rFonts w:cs="Arial"/>
        </w:rPr>
        <w:t>.</w:t>
      </w:r>
      <w:r w:rsidR="002A63CB" w:rsidRPr="002A63CB">
        <w:rPr>
          <w:rFonts w:cs="Arial"/>
        </w:rPr>
        <w:t xml:space="preserve"> </w:t>
      </w:r>
    </w:p>
    <w:p w14:paraId="72C0DB26" w14:textId="75CF21A3" w:rsidR="00E32206" w:rsidRDefault="00E32206" w:rsidP="00E32206">
      <w:pPr>
        <w:spacing w:line="264" w:lineRule="auto"/>
        <w:rPr>
          <w:rFonts w:cs="Arial"/>
        </w:rPr>
      </w:pPr>
      <w:r>
        <w:rPr>
          <w:rFonts w:cs="Arial"/>
        </w:rPr>
        <w:t>Further,</w:t>
      </w:r>
      <w:r w:rsidR="000953ED">
        <w:rPr>
          <w:rFonts w:cs="Arial"/>
        </w:rPr>
        <w:t xml:space="preserve"> from</w:t>
      </w:r>
      <w:r w:rsidRPr="00134C44">
        <w:rPr>
          <w:rFonts w:cs="Arial"/>
        </w:rPr>
        <w:t xml:space="preserve"> identifying systemic issues arising from complaints, the Office has also made recommendations to government agencies on a range of </w:t>
      </w:r>
      <w:r w:rsidR="000953ED">
        <w:rPr>
          <w:rFonts w:cs="Arial"/>
        </w:rPr>
        <w:t>topics,</w:t>
      </w:r>
      <w:r w:rsidRPr="00134C44">
        <w:rPr>
          <w:rFonts w:cs="Arial"/>
        </w:rPr>
        <w:t xml:space="preserve"> including wind farm permit conditions</w:t>
      </w:r>
      <w:r>
        <w:rPr>
          <w:rFonts w:cs="Arial"/>
        </w:rPr>
        <w:t xml:space="preserve">, planning processes, peer reviews </w:t>
      </w:r>
      <w:r w:rsidR="00A60EB8">
        <w:rPr>
          <w:rFonts w:cs="Arial"/>
        </w:rPr>
        <w:t xml:space="preserve">and audits </w:t>
      </w:r>
      <w:r>
        <w:rPr>
          <w:rFonts w:cs="Arial"/>
        </w:rPr>
        <w:t xml:space="preserve">of expert reports, procedures for handling compliance allegations, overall governance arrangements and clarity of the responsible authority for </w:t>
      </w:r>
      <w:r w:rsidR="0061645B">
        <w:rPr>
          <w:rFonts w:cs="Arial"/>
        </w:rPr>
        <w:t xml:space="preserve">wind farm </w:t>
      </w:r>
      <w:r>
        <w:rPr>
          <w:rFonts w:cs="Arial"/>
        </w:rPr>
        <w:t>compliance</w:t>
      </w:r>
      <w:r w:rsidR="0061645B">
        <w:rPr>
          <w:rFonts w:cs="Arial"/>
        </w:rPr>
        <w:t xml:space="preserve"> matters</w:t>
      </w:r>
      <w:r>
        <w:rPr>
          <w:rFonts w:cs="Arial"/>
        </w:rPr>
        <w:t>.</w:t>
      </w:r>
    </w:p>
    <w:p w14:paraId="5B9A9952" w14:textId="02B852AA" w:rsidR="00F35556" w:rsidRPr="00F35556" w:rsidRDefault="00E32206" w:rsidP="0084728C">
      <w:pPr>
        <w:spacing w:line="264" w:lineRule="auto"/>
        <w:rPr>
          <w:rFonts w:cs="Arial"/>
        </w:rPr>
      </w:pPr>
      <w:r>
        <w:rPr>
          <w:rFonts w:cs="Arial"/>
        </w:rPr>
        <w:t>As a result of these efforts, a number of government departments and agencies</w:t>
      </w:r>
      <w:r w:rsidR="00F35556" w:rsidRPr="00F35556">
        <w:rPr>
          <w:rFonts w:cs="Arial"/>
        </w:rPr>
        <w:t xml:space="preserve"> have implemented and continue to consider recommendations made by </w:t>
      </w:r>
      <w:r w:rsidR="00446263">
        <w:rPr>
          <w:rFonts w:cs="Arial"/>
        </w:rPr>
        <w:t>the</w:t>
      </w:r>
      <w:r w:rsidR="00F35556" w:rsidRPr="00F35556">
        <w:rPr>
          <w:rFonts w:cs="Arial"/>
        </w:rPr>
        <w:t xml:space="preserve"> Office</w:t>
      </w:r>
      <w:r>
        <w:rPr>
          <w:rFonts w:cs="Arial"/>
        </w:rPr>
        <w:t xml:space="preserve">. </w:t>
      </w:r>
      <w:r w:rsidR="00A60EB8">
        <w:rPr>
          <w:rFonts w:cs="Arial"/>
        </w:rPr>
        <w:t>During 2017, t</w:t>
      </w:r>
      <w:r w:rsidR="00F35556" w:rsidRPr="00F35556">
        <w:rPr>
          <w:rFonts w:cs="Arial"/>
        </w:rPr>
        <w:t xml:space="preserve">he Commissioner has </w:t>
      </w:r>
      <w:r>
        <w:rPr>
          <w:rFonts w:cs="Arial"/>
        </w:rPr>
        <w:t>also provided guidance and direction on</w:t>
      </w:r>
      <w:r w:rsidR="00F35556" w:rsidRPr="00F35556">
        <w:rPr>
          <w:rFonts w:cs="Arial"/>
        </w:rPr>
        <w:t xml:space="preserve"> </w:t>
      </w:r>
      <w:r w:rsidR="00A60EB8">
        <w:rPr>
          <w:rFonts w:cs="Arial"/>
        </w:rPr>
        <w:t xml:space="preserve">wind farm </w:t>
      </w:r>
      <w:r w:rsidR="00F35556" w:rsidRPr="00F35556">
        <w:rPr>
          <w:rFonts w:cs="Arial"/>
        </w:rPr>
        <w:t xml:space="preserve">planning </w:t>
      </w:r>
      <w:r>
        <w:rPr>
          <w:rFonts w:cs="Arial"/>
        </w:rPr>
        <w:t>frameworks</w:t>
      </w:r>
      <w:r w:rsidR="00F35556" w:rsidRPr="00F35556">
        <w:rPr>
          <w:rFonts w:cs="Arial"/>
        </w:rPr>
        <w:t xml:space="preserve"> and reforms</w:t>
      </w:r>
      <w:r w:rsidR="00474CB5">
        <w:rPr>
          <w:rFonts w:cs="Arial"/>
        </w:rPr>
        <w:t xml:space="preserve"> </w:t>
      </w:r>
      <w:r w:rsidR="00A60EB8">
        <w:rPr>
          <w:rFonts w:cs="Arial"/>
        </w:rPr>
        <w:t xml:space="preserve">in </w:t>
      </w:r>
      <w:r w:rsidR="00F35556" w:rsidRPr="00F35556">
        <w:rPr>
          <w:rFonts w:cs="Arial"/>
        </w:rPr>
        <w:t>New South Wales, Victoria and Western Australia.</w:t>
      </w:r>
    </w:p>
    <w:p w14:paraId="10745288" w14:textId="60699EC5" w:rsidR="005874E7" w:rsidRPr="00F47E6D" w:rsidRDefault="005874E7" w:rsidP="005874E7">
      <w:pPr>
        <w:pStyle w:val="Heading3"/>
      </w:pPr>
      <w:bookmarkStart w:id="24" w:name="_Toc511140618"/>
      <w:r w:rsidRPr="00F47E6D">
        <w:t>Universit</w:t>
      </w:r>
      <w:r>
        <w:t>ies and</w:t>
      </w:r>
      <w:r w:rsidRPr="00F47E6D">
        <w:t xml:space="preserve"> Expert</w:t>
      </w:r>
      <w:r>
        <w:t>s</w:t>
      </w:r>
      <w:bookmarkEnd w:id="24"/>
    </w:p>
    <w:p w14:paraId="598ED584" w14:textId="693CC064" w:rsidR="005874E7" w:rsidRPr="004606F6" w:rsidRDefault="005874E7" w:rsidP="005874E7">
      <w:pPr>
        <w:ind w:hanging="11"/>
        <w:rPr>
          <w:rFonts w:cs="Arial"/>
        </w:rPr>
      </w:pPr>
      <w:r w:rsidRPr="00F47E6D">
        <w:rPr>
          <w:rFonts w:cs="Arial"/>
        </w:rPr>
        <w:t>T</w:t>
      </w:r>
      <w:r w:rsidRPr="004606F6">
        <w:rPr>
          <w:rFonts w:cs="Arial"/>
        </w:rPr>
        <w:t>he Commissioner has</w:t>
      </w:r>
      <w:r w:rsidR="004606F6">
        <w:rPr>
          <w:rFonts w:cs="Arial"/>
        </w:rPr>
        <w:t xml:space="preserve"> continued to liaise</w:t>
      </w:r>
      <w:r w:rsidRPr="004606F6">
        <w:rPr>
          <w:rFonts w:cs="Arial"/>
        </w:rPr>
        <w:t xml:space="preserve"> with experts and university </w:t>
      </w:r>
      <w:r w:rsidR="00A129B6">
        <w:rPr>
          <w:rFonts w:cs="Arial"/>
        </w:rPr>
        <w:t xml:space="preserve">researchers </w:t>
      </w:r>
      <w:r w:rsidRPr="004606F6">
        <w:rPr>
          <w:rFonts w:cs="Arial"/>
        </w:rPr>
        <w:t>to understand their respective roles in providing advice and research regarding wind farm design, compliance testing and health effects. Th</w:t>
      </w:r>
      <w:r w:rsidR="004606F6">
        <w:rPr>
          <w:rFonts w:cs="Arial"/>
        </w:rPr>
        <w:t>roughout 2017, th</w:t>
      </w:r>
      <w:r w:rsidRPr="004606F6">
        <w:rPr>
          <w:rFonts w:cs="Arial"/>
        </w:rPr>
        <w:t xml:space="preserve">e Commissioner </w:t>
      </w:r>
      <w:r w:rsidR="004606F6">
        <w:rPr>
          <w:rFonts w:cs="Arial"/>
        </w:rPr>
        <w:t>m</w:t>
      </w:r>
      <w:r w:rsidRPr="004606F6">
        <w:rPr>
          <w:rFonts w:cs="Arial"/>
        </w:rPr>
        <w:t>et with the Independent Scientific Committee on Wind Turbines (ISCOWT)</w:t>
      </w:r>
      <w:r w:rsidR="004606F6">
        <w:rPr>
          <w:rFonts w:cs="Arial"/>
        </w:rPr>
        <w:t xml:space="preserve"> </w:t>
      </w:r>
      <w:r w:rsidRPr="004606F6">
        <w:rPr>
          <w:rFonts w:cs="Arial"/>
        </w:rPr>
        <w:t>to convey findings and observations from complaint experiences and stakeholder discussions.</w:t>
      </w:r>
      <w:r w:rsidR="00080CEC">
        <w:rPr>
          <w:rFonts w:cs="Arial"/>
        </w:rPr>
        <w:t xml:space="preserve"> The Commissioner has also engaged with a number of acousticians and university experts to clarify information which</w:t>
      </w:r>
      <w:r w:rsidR="006D2DB2">
        <w:rPr>
          <w:rFonts w:cs="Arial"/>
        </w:rPr>
        <w:t xml:space="preserve"> has been integral to resolving some</w:t>
      </w:r>
      <w:r w:rsidR="00080CEC">
        <w:rPr>
          <w:rFonts w:cs="Arial"/>
        </w:rPr>
        <w:t xml:space="preserve"> complaints</w:t>
      </w:r>
      <w:r w:rsidR="006D2DB2">
        <w:rPr>
          <w:rFonts w:cs="Arial"/>
        </w:rPr>
        <w:t xml:space="preserve"> received by the Office</w:t>
      </w:r>
      <w:r w:rsidR="00080CEC">
        <w:rPr>
          <w:rFonts w:cs="Arial"/>
        </w:rPr>
        <w:t>.</w:t>
      </w:r>
    </w:p>
    <w:p w14:paraId="57A205F0" w14:textId="78E195EF" w:rsidR="005874E7" w:rsidRDefault="005874E7" w:rsidP="005874E7">
      <w:pPr>
        <w:ind w:hanging="11"/>
        <w:rPr>
          <w:rFonts w:cs="Arial"/>
        </w:rPr>
      </w:pPr>
      <w:r w:rsidRPr="004606F6">
        <w:rPr>
          <w:rFonts w:cs="Arial"/>
        </w:rPr>
        <w:t>Finally, the Commissioner maintains a watching brief on developments arising from two National Health and Medical Research Council (NHMRC) funded studies</w:t>
      </w:r>
      <w:r w:rsidR="004647DB">
        <w:rPr>
          <w:rFonts w:cs="Arial"/>
        </w:rPr>
        <w:t xml:space="preserve"> </w:t>
      </w:r>
      <w:r w:rsidR="00A129B6">
        <w:rPr>
          <w:rFonts w:cs="Arial"/>
        </w:rPr>
        <w:t xml:space="preserve">regarding wind farms and health </w:t>
      </w:r>
      <w:r w:rsidR="004647DB">
        <w:rPr>
          <w:rFonts w:cs="Arial"/>
        </w:rPr>
        <w:t>and continues to brief the NHMRC on the Commissioner’s activities.</w:t>
      </w:r>
      <w:r w:rsidRPr="004606F6">
        <w:rPr>
          <w:rFonts w:cs="Arial"/>
        </w:rPr>
        <w:t xml:space="preserve"> The </w:t>
      </w:r>
      <w:r w:rsidR="004647DB">
        <w:rPr>
          <w:rFonts w:cs="Arial"/>
        </w:rPr>
        <w:t xml:space="preserve">NHMRC </w:t>
      </w:r>
      <w:r w:rsidR="00A129B6">
        <w:rPr>
          <w:rFonts w:cs="Arial"/>
        </w:rPr>
        <w:t xml:space="preserve">funded </w:t>
      </w:r>
      <w:r w:rsidR="004647DB">
        <w:rPr>
          <w:rFonts w:cs="Arial"/>
        </w:rPr>
        <w:t xml:space="preserve">studies </w:t>
      </w:r>
      <w:r w:rsidRPr="004606F6">
        <w:rPr>
          <w:rFonts w:cs="Arial"/>
        </w:rPr>
        <w:t xml:space="preserve">are focused on the </w:t>
      </w:r>
      <w:r w:rsidR="004647DB">
        <w:rPr>
          <w:rFonts w:cs="Arial"/>
        </w:rPr>
        <w:t xml:space="preserve">audible and inaudible noise </w:t>
      </w:r>
      <w:r w:rsidRPr="004606F6">
        <w:rPr>
          <w:rFonts w:cs="Arial"/>
        </w:rPr>
        <w:t>impact</w:t>
      </w:r>
      <w:r w:rsidR="004647DB">
        <w:rPr>
          <w:rFonts w:cs="Arial"/>
        </w:rPr>
        <w:t>s</w:t>
      </w:r>
      <w:r w:rsidRPr="004606F6">
        <w:rPr>
          <w:rFonts w:cs="Arial"/>
        </w:rPr>
        <w:t xml:space="preserve"> </w:t>
      </w:r>
      <w:r w:rsidR="004647DB">
        <w:rPr>
          <w:rFonts w:cs="Arial"/>
        </w:rPr>
        <w:t xml:space="preserve">that </w:t>
      </w:r>
      <w:r w:rsidRPr="004606F6">
        <w:rPr>
          <w:rFonts w:cs="Arial"/>
        </w:rPr>
        <w:t xml:space="preserve">wind farms </w:t>
      </w:r>
      <w:r w:rsidR="004647DB">
        <w:rPr>
          <w:rFonts w:cs="Arial"/>
        </w:rPr>
        <w:t xml:space="preserve">may </w:t>
      </w:r>
      <w:r w:rsidRPr="004606F6">
        <w:rPr>
          <w:rFonts w:cs="Arial"/>
        </w:rPr>
        <w:t xml:space="preserve">have on sleep and </w:t>
      </w:r>
      <w:r w:rsidR="004647DB">
        <w:rPr>
          <w:rFonts w:cs="Arial"/>
        </w:rPr>
        <w:t>h</w:t>
      </w:r>
      <w:r w:rsidRPr="004606F6">
        <w:rPr>
          <w:rFonts w:cs="Arial"/>
        </w:rPr>
        <w:t>ealth.</w:t>
      </w:r>
    </w:p>
    <w:p w14:paraId="6968C57E" w14:textId="3155C21F" w:rsidR="00E823F0" w:rsidRDefault="00E823F0" w:rsidP="00E823F0">
      <w:pPr>
        <w:pStyle w:val="Heading3"/>
      </w:pPr>
      <w:bookmarkStart w:id="25" w:name="_Toc511140619"/>
      <w:r>
        <w:t>2016 Annual Report</w:t>
      </w:r>
      <w:bookmarkEnd w:id="25"/>
      <w:r>
        <w:t xml:space="preserve"> </w:t>
      </w:r>
    </w:p>
    <w:p w14:paraId="4BBA187C" w14:textId="6D0FA2F9" w:rsidR="00E823F0" w:rsidRPr="00E823F0" w:rsidRDefault="00E823F0" w:rsidP="00E823F0">
      <w:pPr>
        <w:spacing w:line="264" w:lineRule="auto"/>
        <w:rPr>
          <w:rFonts w:cs="Arial"/>
        </w:rPr>
      </w:pPr>
      <w:r w:rsidRPr="00E823F0">
        <w:rPr>
          <w:rFonts w:cs="Arial"/>
        </w:rPr>
        <w:t>On 12 April 2017, the Commissioner’s 2016 Annual Report was tabled in the Australian Parliament</w:t>
      </w:r>
      <w:r w:rsidR="00684C42">
        <w:rPr>
          <w:rFonts w:cs="Arial"/>
        </w:rPr>
        <w:t>.</w:t>
      </w:r>
      <w:r w:rsidR="005E55A1">
        <w:rPr>
          <w:rFonts w:cs="Arial"/>
        </w:rPr>
        <w:t xml:space="preserve"> This report provided</w:t>
      </w:r>
      <w:r w:rsidR="00684C42">
        <w:rPr>
          <w:rFonts w:cs="Arial"/>
        </w:rPr>
        <w:t xml:space="preserve"> information on the Office’s complaint data and activities</w:t>
      </w:r>
      <w:r w:rsidR="005E55A1">
        <w:rPr>
          <w:rFonts w:cs="Arial"/>
        </w:rPr>
        <w:t xml:space="preserve"> </w:t>
      </w:r>
      <w:r w:rsidR="00EA1FD9">
        <w:rPr>
          <w:rFonts w:cs="Arial"/>
        </w:rPr>
        <w:t>and set</w:t>
      </w:r>
      <w:r w:rsidR="005E55A1">
        <w:rPr>
          <w:rFonts w:cs="Arial"/>
        </w:rPr>
        <w:t xml:space="preserve"> out</w:t>
      </w:r>
      <w:r w:rsidRPr="00E823F0">
        <w:rPr>
          <w:rFonts w:cs="Arial"/>
        </w:rPr>
        <w:t xml:space="preserve"> a number of observations and preliminary recommendations</w:t>
      </w:r>
      <w:r w:rsidR="00684C42">
        <w:rPr>
          <w:rFonts w:cs="Arial"/>
        </w:rPr>
        <w:t xml:space="preserve"> </w:t>
      </w:r>
      <w:r w:rsidR="00EA1FD9">
        <w:rPr>
          <w:rFonts w:cs="Arial"/>
        </w:rPr>
        <w:t xml:space="preserve">that were </w:t>
      </w:r>
      <w:r w:rsidR="00684C42" w:rsidRPr="00EA1FD9">
        <w:rPr>
          <w:rFonts w:cs="Arial"/>
        </w:rPr>
        <w:t xml:space="preserve">designed to promote best practice within the industry and improve the governance </w:t>
      </w:r>
      <w:r w:rsidR="005E55A1" w:rsidRPr="00EA1FD9">
        <w:rPr>
          <w:rFonts w:cs="Arial"/>
        </w:rPr>
        <w:t xml:space="preserve">and regulation </w:t>
      </w:r>
      <w:r w:rsidR="00684C42" w:rsidRPr="00EA1FD9">
        <w:rPr>
          <w:rFonts w:cs="Arial"/>
        </w:rPr>
        <w:t>of the industry</w:t>
      </w:r>
      <w:r w:rsidRPr="00EA1FD9">
        <w:rPr>
          <w:rFonts w:cs="Arial"/>
        </w:rPr>
        <w:t>.</w:t>
      </w:r>
      <w:r>
        <w:rPr>
          <w:rFonts w:cs="Arial"/>
        </w:rPr>
        <w:t xml:space="preserve"> </w:t>
      </w:r>
    </w:p>
    <w:p w14:paraId="4F0BF29C" w14:textId="24C5F057" w:rsidR="00E823F0" w:rsidRPr="00E823F0" w:rsidRDefault="003916B2" w:rsidP="00E823F0">
      <w:pPr>
        <w:spacing w:line="264" w:lineRule="auto"/>
        <w:rPr>
          <w:rFonts w:cs="Arial"/>
        </w:rPr>
      </w:pPr>
      <w:r w:rsidRPr="00E823F0">
        <w:rPr>
          <w:rFonts w:cs="Arial"/>
        </w:rPr>
        <w:t xml:space="preserve">Following the release of </w:t>
      </w:r>
      <w:r w:rsidRPr="003916B2">
        <w:rPr>
          <w:rFonts w:cs="Arial"/>
        </w:rPr>
        <w:t>the report, the Commissioner distributed the publication</w:t>
      </w:r>
      <w:r>
        <w:rPr>
          <w:rFonts w:cs="Arial"/>
        </w:rPr>
        <w:t xml:space="preserve"> to</w:t>
      </w:r>
      <w:r w:rsidRPr="003916B2">
        <w:rPr>
          <w:rFonts w:cs="Arial"/>
        </w:rPr>
        <w:t xml:space="preserve"> a wide range of stakeholders. </w:t>
      </w:r>
      <w:r>
        <w:rPr>
          <w:rFonts w:cs="Arial"/>
        </w:rPr>
        <w:t>Throughout the year, t</w:t>
      </w:r>
      <w:r w:rsidR="00E823F0" w:rsidRPr="003916B2">
        <w:rPr>
          <w:rFonts w:cs="Arial"/>
        </w:rPr>
        <w:t xml:space="preserve">he Commissioner </w:t>
      </w:r>
      <w:r>
        <w:rPr>
          <w:rFonts w:cs="Arial"/>
        </w:rPr>
        <w:t>undertook</w:t>
      </w:r>
      <w:r w:rsidR="00E823F0" w:rsidRPr="003916B2">
        <w:rPr>
          <w:rFonts w:cs="Arial"/>
        </w:rPr>
        <w:t xml:space="preserve"> extensive consultation with stakeholders on the preliminary recommendations </w:t>
      </w:r>
      <w:r w:rsidR="005E55A1">
        <w:rPr>
          <w:rFonts w:cs="Arial"/>
        </w:rPr>
        <w:t xml:space="preserve">in the report </w:t>
      </w:r>
      <w:r>
        <w:rPr>
          <w:rFonts w:cs="Arial"/>
        </w:rPr>
        <w:t>and participated in</w:t>
      </w:r>
      <w:r w:rsidR="00E823F0">
        <w:rPr>
          <w:rFonts w:cs="Arial"/>
        </w:rPr>
        <w:t xml:space="preserve"> </w:t>
      </w:r>
      <w:r w:rsidR="00E13FC7">
        <w:rPr>
          <w:rFonts w:cs="Arial"/>
        </w:rPr>
        <w:t xml:space="preserve">a large number of </w:t>
      </w:r>
      <w:r w:rsidR="00E823F0">
        <w:rPr>
          <w:rFonts w:cs="Arial"/>
        </w:rPr>
        <w:t>presentations and meetings with proponents, government agencies and community groups</w:t>
      </w:r>
      <w:r w:rsidR="00080CEC">
        <w:rPr>
          <w:rFonts w:cs="Arial"/>
        </w:rPr>
        <w:t xml:space="preserve"> across Australia</w:t>
      </w:r>
      <w:r w:rsidR="00E823F0">
        <w:rPr>
          <w:rFonts w:cs="Arial"/>
        </w:rPr>
        <w:t>.</w:t>
      </w:r>
    </w:p>
    <w:p w14:paraId="14D5D24E" w14:textId="502478BA" w:rsidR="005E55A1" w:rsidRDefault="00E823F0" w:rsidP="00E823F0">
      <w:pPr>
        <w:rPr>
          <w:rFonts w:cs="Arial"/>
        </w:rPr>
      </w:pPr>
      <w:r w:rsidRPr="00E823F0">
        <w:rPr>
          <w:rFonts w:cs="Arial"/>
        </w:rPr>
        <w:lastRenderedPageBreak/>
        <w:t xml:space="preserve">Overall, feedback </w:t>
      </w:r>
      <w:r w:rsidR="005E55A1">
        <w:rPr>
          <w:rFonts w:cs="Arial"/>
        </w:rPr>
        <w:t>on the preliminary recommendations</w:t>
      </w:r>
      <w:r w:rsidRPr="00E823F0">
        <w:rPr>
          <w:rFonts w:cs="Arial"/>
        </w:rPr>
        <w:t xml:space="preserve"> </w:t>
      </w:r>
      <w:r w:rsidR="008E0340">
        <w:rPr>
          <w:rFonts w:cs="Arial"/>
        </w:rPr>
        <w:t xml:space="preserve">has been </w:t>
      </w:r>
      <w:r w:rsidR="008D0D0E">
        <w:rPr>
          <w:rFonts w:cs="Arial"/>
        </w:rPr>
        <w:t xml:space="preserve">very </w:t>
      </w:r>
      <w:r w:rsidR="008E0340">
        <w:rPr>
          <w:rFonts w:cs="Arial"/>
        </w:rPr>
        <w:t>positive and constructive, indicating</w:t>
      </w:r>
      <w:r w:rsidRPr="00E823F0">
        <w:rPr>
          <w:rFonts w:cs="Arial"/>
        </w:rPr>
        <w:t xml:space="preserve"> that the role of the Commissioner has been well received </w:t>
      </w:r>
      <w:r w:rsidRPr="008E0340">
        <w:rPr>
          <w:rFonts w:cs="Arial"/>
        </w:rPr>
        <w:t xml:space="preserve">and </w:t>
      </w:r>
      <w:r w:rsidRPr="0036016D">
        <w:rPr>
          <w:rFonts w:cs="Arial"/>
        </w:rPr>
        <w:t xml:space="preserve">continues to </w:t>
      </w:r>
      <w:r w:rsidR="008D0D0E">
        <w:rPr>
          <w:rFonts w:cs="Arial"/>
        </w:rPr>
        <w:t>provide</w:t>
      </w:r>
      <w:r w:rsidRPr="0036016D">
        <w:rPr>
          <w:rFonts w:cs="Arial"/>
        </w:rPr>
        <w:t xml:space="preserve"> value</w:t>
      </w:r>
      <w:r w:rsidR="00B956B7">
        <w:rPr>
          <w:rFonts w:cs="Arial"/>
        </w:rPr>
        <w:t xml:space="preserve"> to the </w:t>
      </w:r>
      <w:r w:rsidR="00EA1FD9">
        <w:rPr>
          <w:rFonts w:cs="Arial"/>
        </w:rPr>
        <w:t>growing</w:t>
      </w:r>
      <w:r w:rsidR="00B956B7">
        <w:rPr>
          <w:rFonts w:cs="Arial"/>
        </w:rPr>
        <w:t xml:space="preserve"> wind energy industry in Australia</w:t>
      </w:r>
      <w:r w:rsidRPr="00E823F0">
        <w:rPr>
          <w:rFonts w:cs="Arial"/>
        </w:rPr>
        <w:t xml:space="preserve">. A number of positive changes in industry and governance practices have already been implemented as a result of the Commissioner’s </w:t>
      </w:r>
      <w:r w:rsidR="008D0D0E">
        <w:rPr>
          <w:rFonts w:cs="Arial"/>
        </w:rPr>
        <w:t xml:space="preserve">advocacy </w:t>
      </w:r>
      <w:r w:rsidRPr="00E823F0">
        <w:rPr>
          <w:rFonts w:cs="Arial"/>
        </w:rPr>
        <w:t xml:space="preserve">and recommendations. </w:t>
      </w:r>
      <w:r w:rsidR="005E55A1">
        <w:rPr>
          <w:rFonts w:cs="Arial"/>
        </w:rPr>
        <w:t xml:space="preserve">This report </w:t>
      </w:r>
      <w:r w:rsidR="00EA1FD9">
        <w:rPr>
          <w:rFonts w:cs="Arial"/>
        </w:rPr>
        <w:t>is available on the</w:t>
      </w:r>
      <w:r w:rsidR="005E55A1" w:rsidRPr="00E823F0">
        <w:rPr>
          <w:rFonts w:cs="Arial"/>
        </w:rPr>
        <w:t xml:space="preserve"> Commissioner’s website (available at: </w:t>
      </w:r>
      <w:hyperlink r:id="rId46" w:history="1">
        <w:r w:rsidR="005E55A1" w:rsidRPr="00E823F0">
          <w:rPr>
            <w:rStyle w:val="Hyperlink"/>
            <w:rFonts w:cs="Arial"/>
          </w:rPr>
          <w:t>https://www.nwfc.gov.au/publications/annual-report-2016</w:t>
        </w:r>
      </w:hyperlink>
      <w:r w:rsidR="005E55A1" w:rsidRPr="00E823F0">
        <w:rPr>
          <w:rFonts w:cs="Arial"/>
        </w:rPr>
        <w:t>).</w:t>
      </w:r>
    </w:p>
    <w:p w14:paraId="54E778A3" w14:textId="69F1B574" w:rsidR="00E823F0" w:rsidRPr="00E823F0" w:rsidRDefault="00E823F0" w:rsidP="00E823F0">
      <w:pPr>
        <w:rPr>
          <w:rFonts w:asciiTheme="minorHAnsi" w:hAnsiTheme="minorHAnsi" w:cs="Arial"/>
        </w:rPr>
      </w:pPr>
      <w:r w:rsidRPr="00E823F0">
        <w:rPr>
          <w:rFonts w:cs="Arial"/>
        </w:rPr>
        <w:t>The Commissioner has made a number of updates and additions</w:t>
      </w:r>
      <w:r w:rsidR="008E0340">
        <w:rPr>
          <w:rFonts w:cs="Arial"/>
        </w:rPr>
        <w:t xml:space="preserve"> to the</w:t>
      </w:r>
      <w:r w:rsidRPr="00E823F0">
        <w:rPr>
          <w:rFonts w:cs="Arial"/>
        </w:rPr>
        <w:t xml:space="preserve"> recommendations </w:t>
      </w:r>
      <w:r w:rsidR="008E0340">
        <w:rPr>
          <w:rFonts w:cs="Arial"/>
        </w:rPr>
        <w:t xml:space="preserve">outlined in the 2016 Annual Report </w:t>
      </w:r>
      <w:r w:rsidRPr="00E823F0">
        <w:rPr>
          <w:rFonts w:cs="Arial"/>
        </w:rPr>
        <w:t>that a</w:t>
      </w:r>
      <w:r w:rsidR="008D0D0E">
        <w:rPr>
          <w:rFonts w:cs="Arial"/>
        </w:rPr>
        <w:t xml:space="preserve">re detailed in this 2017 </w:t>
      </w:r>
      <w:r w:rsidRPr="00E823F0">
        <w:rPr>
          <w:rFonts w:cs="Arial"/>
        </w:rPr>
        <w:t>report</w:t>
      </w:r>
      <w:r w:rsidR="008D0D0E">
        <w:rPr>
          <w:rFonts w:cs="Arial"/>
        </w:rPr>
        <w:t>.</w:t>
      </w:r>
      <w:r>
        <w:rPr>
          <w:rFonts w:cs="Arial"/>
          <w:highlight w:val="yellow"/>
        </w:rPr>
        <w:t xml:space="preserve"> </w:t>
      </w:r>
    </w:p>
    <w:p w14:paraId="6821F1F5" w14:textId="4A6A04F8" w:rsidR="005A0E9F" w:rsidRPr="00F47E6D" w:rsidRDefault="005A0E9F" w:rsidP="005A0E9F">
      <w:pPr>
        <w:pStyle w:val="Heading3"/>
      </w:pPr>
      <w:bookmarkStart w:id="26" w:name="_Toc511140620"/>
      <w:r>
        <w:t>Presentations and Events</w:t>
      </w:r>
      <w:bookmarkEnd w:id="26"/>
    </w:p>
    <w:p w14:paraId="262D7F36" w14:textId="6E47AD28" w:rsidR="005A0E9F" w:rsidRPr="00134C44" w:rsidRDefault="0022646F" w:rsidP="005A0E9F">
      <w:pPr>
        <w:rPr>
          <w:rFonts w:cs="Arial"/>
        </w:rPr>
      </w:pPr>
      <w:r>
        <w:rPr>
          <w:rFonts w:cs="Arial"/>
        </w:rPr>
        <w:t xml:space="preserve">In addition to the community group events that the Commissioner has presented to (see page </w:t>
      </w:r>
      <w:r w:rsidRPr="002569FE">
        <w:rPr>
          <w:rFonts w:cs="Arial"/>
        </w:rPr>
        <w:t>1</w:t>
      </w:r>
      <w:r w:rsidR="00830BF9" w:rsidRPr="002569FE">
        <w:rPr>
          <w:rFonts w:cs="Arial"/>
        </w:rPr>
        <w:t>7</w:t>
      </w:r>
      <w:r>
        <w:rPr>
          <w:rFonts w:cs="Arial"/>
        </w:rPr>
        <w:t>), t</w:t>
      </w:r>
      <w:r w:rsidR="005A0E9F" w:rsidRPr="00134C44">
        <w:rPr>
          <w:rFonts w:cs="Arial"/>
        </w:rPr>
        <w:t xml:space="preserve">he Commissioner has </w:t>
      </w:r>
      <w:r>
        <w:rPr>
          <w:rFonts w:cs="Arial"/>
        </w:rPr>
        <w:t xml:space="preserve">also </w:t>
      </w:r>
      <w:r w:rsidR="005A0E9F" w:rsidRPr="00134C44">
        <w:rPr>
          <w:rFonts w:cs="Arial"/>
        </w:rPr>
        <w:t>formally presented to a variety of</w:t>
      </w:r>
      <w:r w:rsidR="00134C44">
        <w:rPr>
          <w:rFonts w:cs="Arial"/>
        </w:rPr>
        <w:t xml:space="preserve"> </w:t>
      </w:r>
      <w:r w:rsidR="00830BF9">
        <w:rPr>
          <w:rFonts w:cs="Arial"/>
        </w:rPr>
        <w:t xml:space="preserve">other </w:t>
      </w:r>
      <w:r w:rsidR="00134C44">
        <w:rPr>
          <w:rFonts w:cs="Arial"/>
        </w:rPr>
        <w:t xml:space="preserve">stakeholder groups and forums. Some of these presentations are available on the Commissioner’s website at </w:t>
      </w:r>
      <w:hyperlink r:id="rId47" w:history="1">
        <w:r w:rsidR="00134C44" w:rsidRPr="00C32440">
          <w:rPr>
            <w:rStyle w:val="Hyperlink"/>
            <w:rFonts w:cs="Arial"/>
          </w:rPr>
          <w:t>www.nwfc.gov.au</w:t>
        </w:r>
      </w:hyperlink>
      <w:r w:rsidR="002F637C">
        <w:rPr>
          <w:rFonts w:cs="Arial"/>
        </w:rPr>
        <w:t>.</w:t>
      </w:r>
      <w:r w:rsidR="00134C44">
        <w:rPr>
          <w:rFonts w:cs="Arial"/>
        </w:rPr>
        <w:t xml:space="preserve"> </w:t>
      </w:r>
      <w:r w:rsidR="00830BF9">
        <w:rPr>
          <w:rFonts w:cs="Arial"/>
        </w:rPr>
        <w:t xml:space="preserve">Events and meetings </w:t>
      </w:r>
      <w:r w:rsidR="00134C44">
        <w:rPr>
          <w:rFonts w:cs="Arial"/>
        </w:rPr>
        <w:t>that the Commissioner presented to in 2017 include:</w:t>
      </w:r>
    </w:p>
    <w:p w14:paraId="1172E7AB" w14:textId="77777777" w:rsidR="00D35B01" w:rsidRDefault="00D35B01" w:rsidP="00D35B01">
      <w:pPr>
        <w:pStyle w:val="ListParagraph"/>
        <w:numPr>
          <w:ilvl w:val="0"/>
          <w:numId w:val="36"/>
        </w:numPr>
        <w:rPr>
          <w:rFonts w:eastAsiaTheme="minorHAnsi"/>
        </w:rPr>
      </w:pPr>
      <w:r>
        <w:t>Clean Energy Council Wind Directorate</w:t>
      </w:r>
      <w:r>
        <w:rPr>
          <w:color w:val="1F497D"/>
        </w:rPr>
        <w:t xml:space="preserve"> – </w:t>
      </w:r>
      <w:r>
        <w:t>April 2017</w:t>
      </w:r>
    </w:p>
    <w:p w14:paraId="002E4E43" w14:textId="77777777" w:rsidR="00D35B01" w:rsidRDefault="00D35B01" w:rsidP="00D35B01">
      <w:pPr>
        <w:pStyle w:val="ListParagraph"/>
        <w:numPr>
          <w:ilvl w:val="0"/>
          <w:numId w:val="36"/>
        </w:numPr>
      </w:pPr>
      <w:r>
        <w:t>Department of Planning and Environment (NSW)</w:t>
      </w:r>
      <w:r>
        <w:rPr>
          <w:color w:val="1F497D"/>
        </w:rPr>
        <w:t xml:space="preserve"> </w:t>
      </w:r>
      <w:r>
        <w:t>– April 2017</w:t>
      </w:r>
    </w:p>
    <w:p w14:paraId="0B7D0A3A" w14:textId="77777777" w:rsidR="00D35B01" w:rsidRDefault="00D35B01" w:rsidP="00D35B01">
      <w:pPr>
        <w:pStyle w:val="ListParagraph"/>
        <w:numPr>
          <w:ilvl w:val="0"/>
          <w:numId w:val="36"/>
        </w:numPr>
      </w:pPr>
      <w:r>
        <w:t>Department of Environment, Land, Water and Planning (Victoria) – May 2017</w:t>
      </w:r>
    </w:p>
    <w:p w14:paraId="6D648557" w14:textId="77777777" w:rsidR="00D35B01" w:rsidRDefault="00D35B01" w:rsidP="00D35B01">
      <w:pPr>
        <w:pStyle w:val="ListParagraph"/>
        <w:numPr>
          <w:ilvl w:val="0"/>
          <w:numId w:val="37"/>
        </w:numPr>
      </w:pPr>
      <w:r>
        <w:t>Australian Clean Energy Summit – July 2017</w:t>
      </w:r>
    </w:p>
    <w:p w14:paraId="445C57E3" w14:textId="77777777" w:rsidR="00D35B01" w:rsidRDefault="00D35B01" w:rsidP="00D35B01">
      <w:pPr>
        <w:pStyle w:val="ListParagraph"/>
        <w:numPr>
          <w:ilvl w:val="0"/>
          <w:numId w:val="37"/>
        </w:numPr>
      </w:pPr>
      <w:r>
        <w:t>Guest lectures to the Masters and Undergraduate Programs on Wind Energy and Resources Engineering</w:t>
      </w:r>
      <w:r>
        <w:rPr>
          <w:color w:val="1F497D"/>
        </w:rPr>
        <w:t xml:space="preserve"> </w:t>
      </w:r>
      <w:r>
        <w:t>(Monash University) – August 2017</w:t>
      </w:r>
    </w:p>
    <w:p w14:paraId="25A46DEB" w14:textId="77777777" w:rsidR="00D35B01" w:rsidRDefault="00D35B01" w:rsidP="00D35B01">
      <w:pPr>
        <w:pStyle w:val="ListParagraph"/>
        <w:numPr>
          <w:ilvl w:val="0"/>
          <w:numId w:val="37"/>
        </w:numPr>
      </w:pPr>
      <w:r>
        <w:t>Guest lectures to the Masters and Undergraduate Programs on Wind Energy (Monash University) – August 2017</w:t>
      </w:r>
    </w:p>
    <w:p w14:paraId="30198AAB" w14:textId="22873A95" w:rsidR="00D35B01" w:rsidRDefault="00D35B01" w:rsidP="00D35B01">
      <w:pPr>
        <w:pStyle w:val="ListParagraph"/>
        <w:numPr>
          <w:ilvl w:val="0"/>
          <w:numId w:val="37"/>
        </w:numPr>
      </w:pPr>
      <w:r>
        <w:t>Department of Infrastructure, Local Government and Planning (Q</w:t>
      </w:r>
      <w:r w:rsidR="00830BF9">
        <w:t>ueensland</w:t>
      </w:r>
      <w:r>
        <w:t>) – September 2017</w:t>
      </w:r>
    </w:p>
    <w:p w14:paraId="3F22EB4E" w14:textId="77777777" w:rsidR="00D35B01" w:rsidRDefault="00D35B01" w:rsidP="00D35B01">
      <w:pPr>
        <w:pStyle w:val="ListParagraph"/>
        <w:numPr>
          <w:ilvl w:val="0"/>
          <w:numId w:val="37"/>
        </w:numPr>
      </w:pPr>
      <w:r>
        <w:t>Fire and Emergency Management Conference (Australasian Fire and Emergency Service Authorities Council) – September 2017</w:t>
      </w:r>
    </w:p>
    <w:p w14:paraId="39A9D94A" w14:textId="77777777" w:rsidR="00D35B01" w:rsidRDefault="00D35B01" w:rsidP="00D35B01">
      <w:pPr>
        <w:pStyle w:val="ListParagraph"/>
        <w:numPr>
          <w:ilvl w:val="0"/>
          <w:numId w:val="37"/>
        </w:numPr>
      </w:pPr>
      <w:r>
        <w:t>ARENA Board Meeting presentation – October 2017</w:t>
      </w:r>
    </w:p>
    <w:p w14:paraId="14A62963" w14:textId="77777777" w:rsidR="00D35B01" w:rsidRDefault="00D35B01" w:rsidP="00D35B01">
      <w:pPr>
        <w:pStyle w:val="ListParagraph"/>
        <w:numPr>
          <w:ilvl w:val="0"/>
          <w:numId w:val="37"/>
        </w:numPr>
      </w:pPr>
      <w:r>
        <w:t>All–Energy Australia Exhibition and Conference – October 2017</w:t>
      </w:r>
    </w:p>
    <w:p w14:paraId="6E113CE5" w14:textId="77777777" w:rsidR="00D35B01" w:rsidRDefault="00D35B01" w:rsidP="00D35B01">
      <w:pPr>
        <w:pStyle w:val="ListParagraph"/>
        <w:numPr>
          <w:ilvl w:val="0"/>
          <w:numId w:val="36"/>
        </w:numPr>
      </w:pPr>
      <w:r>
        <w:t>Clean Energy Regulator Board Meeting presentation – December 2017</w:t>
      </w:r>
    </w:p>
    <w:p w14:paraId="655DF487" w14:textId="3AF7B59F" w:rsidR="00D35B01" w:rsidRDefault="00D35B01" w:rsidP="00D35B01">
      <w:pPr>
        <w:pStyle w:val="ListParagraph"/>
        <w:numPr>
          <w:ilvl w:val="0"/>
          <w:numId w:val="36"/>
        </w:numPr>
      </w:pPr>
      <w:r>
        <w:t>C</w:t>
      </w:r>
      <w:r w:rsidR="00830BF9">
        <w:t xml:space="preserve">limate Change Authority Board Meeting </w:t>
      </w:r>
      <w:r>
        <w:t>Presentation – December 2017</w:t>
      </w:r>
    </w:p>
    <w:p w14:paraId="607ADC9F" w14:textId="6A01E87E" w:rsidR="00D35B01" w:rsidRDefault="00D35B01" w:rsidP="00D35B01">
      <w:pPr>
        <w:pStyle w:val="ListParagraph"/>
        <w:numPr>
          <w:ilvl w:val="0"/>
          <w:numId w:val="36"/>
        </w:numPr>
      </w:pPr>
      <w:r>
        <w:t>Clean Energy Council Wind Directorate</w:t>
      </w:r>
      <w:r>
        <w:rPr>
          <w:color w:val="1F497D"/>
        </w:rPr>
        <w:t xml:space="preserve"> – </w:t>
      </w:r>
      <w:r>
        <w:t>December 2017</w:t>
      </w:r>
      <w:r w:rsidR="00AC4F4F">
        <w:t>.</w:t>
      </w:r>
    </w:p>
    <w:p w14:paraId="7DCAB1FC" w14:textId="77777777" w:rsidR="005874E7" w:rsidRDefault="005874E7" w:rsidP="005874E7">
      <w:pPr>
        <w:pStyle w:val="Heading2"/>
      </w:pPr>
      <w:bookmarkStart w:id="27" w:name="_Toc511140621"/>
      <w:r>
        <w:t>Wind Farms and Communities Visited</w:t>
      </w:r>
      <w:bookmarkEnd w:id="27"/>
    </w:p>
    <w:p w14:paraId="641AFCAB" w14:textId="3575210C" w:rsidR="005874E7" w:rsidRDefault="006F42E4" w:rsidP="005874E7">
      <w:pPr>
        <w:rPr>
          <w:rFonts w:cs="Arial"/>
        </w:rPr>
      </w:pPr>
      <w:r>
        <w:rPr>
          <w:rFonts w:cs="Arial"/>
        </w:rPr>
        <w:t>As at 31 December 2017</w:t>
      </w:r>
      <w:r w:rsidR="005874E7" w:rsidRPr="00B6283A">
        <w:rPr>
          <w:rFonts w:cs="Arial"/>
        </w:rPr>
        <w:t>, the Office ha</w:t>
      </w:r>
      <w:r w:rsidR="005B0030">
        <w:rPr>
          <w:rFonts w:cs="Arial"/>
        </w:rPr>
        <w:t>d</w:t>
      </w:r>
      <w:r w:rsidR="005874E7" w:rsidRPr="00B6283A">
        <w:rPr>
          <w:rFonts w:cs="Arial"/>
        </w:rPr>
        <w:t xml:space="preserve"> received complain</w:t>
      </w:r>
      <w:r w:rsidR="005874E7">
        <w:rPr>
          <w:rFonts w:cs="Arial"/>
        </w:rPr>
        <w:t xml:space="preserve">ts in relation </w:t>
      </w:r>
      <w:r w:rsidR="005874E7" w:rsidRPr="00A7772E">
        <w:rPr>
          <w:rFonts w:cs="Arial"/>
        </w:rPr>
        <w:t xml:space="preserve">to </w:t>
      </w:r>
      <w:r w:rsidR="000E4312">
        <w:rPr>
          <w:rFonts w:cs="Arial"/>
        </w:rPr>
        <w:t>38</w:t>
      </w:r>
      <w:r w:rsidR="005874E7">
        <w:rPr>
          <w:rFonts w:cs="Arial"/>
        </w:rPr>
        <w:t xml:space="preserve"> proposed and</w:t>
      </w:r>
      <w:r w:rsidR="005874E7" w:rsidRPr="00B6283A">
        <w:rPr>
          <w:rFonts w:cs="Arial"/>
        </w:rPr>
        <w:t xml:space="preserve"> operating wind farms. </w:t>
      </w:r>
      <w:r w:rsidR="000E4312">
        <w:rPr>
          <w:rFonts w:cs="Arial"/>
        </w:rPr>
        <w:t>While the Commissioner has not been able to visit all of the locations related to complaints lodged,</w:t>
      </w:r>
      <w:r w:rsidR="005874E7" w:rsidRPr="00B6283A">
        <w:rPr>
          <w:rFonts w:cs="Arial"/>
        </w:rPr>
        <w:t xml:space="preserve"> the Commissioner has visited </w:t>
      </w:r>
      <w:r w:rsidR="00E13FC7">
        <w:rPr>
          <w:rFonts w:cs="Arial"/>
        </w:rPr>
        <w:t>3</w:t>
      </w:r>
      <w:r w:rsidR="002F637C">
        <w:rPr>
          <w:rFonts w:cs="Arial"/>
        </w:rPr>
        <w:t>4</w:t>
      </w:r>
      <w:r w:rsidR="005874E7" w:rsidRPr="00B6283A">
        <w:rPr>
          <w:rFonts w:cs="Arial"/>
        </w:rPr>
        <w:t xml:space="preserve"> wind farm locations to meet with community members and other stakeholders.</w:t>
      </w:r>
      <w:r w:rsidR="005874E7">
        <w:rPr>
          <w:rFonts w:cs="Arial"/>
        </w:rPr>
        <w:t xml:space="preserve"> Visits have included meetings with concerned residents to discuss specific complaint matters as well as directly experience the operation of the wind farm and the affected area. Table 1 shows the wind farm locations that have been visited. </w:t>
      </w:r>
      <w:r w:rsidR="000E4312">
        <w:rPr>
          <w:rFonts w:cs="Arial"/>
        </w:rPr>
        <w:t xml:space="preserve">In </w:t>
      </w:r>
      <w:r w:rsidR="00830BF9">
        <w:rPr>
          <w:rFonts w:cs="Arial"/>
        </w:rPr>
        <w:t xml:space="preserve">a number of </w:t>
      </w:r>
      <w:r w:rsidR="000E4312">
        <w:rPr>
          <w:rFonts w:cs="Arial"/>
        </w:rPr>
        <w:t>cases, largely d</w:t>
      </w:r>
      <w:r w:rsidR="005874E7">
        <w:rPr>
          <w:rFonts w:cs="Arial"/>
        </w:rPr>
        <w:t xml:space="preserve">ue to complainant </w:t>
      </w:r>
      <w:r w:rsidR="000E4312">
        <w:rPr>
          <w:rFonts w:cs="Arial"/>
        </w:rPr>
        <w:t xml:space="preserve">handling </w:t>
      </w:r>
      <w:r w:rsidR="005874E7">
        <w:rPr>
          <w:rFonts w:cs="Arial"/>
        </w:rPr>
        <w:t>activit</w:t>
      </w:r>
      <w:r w:rsidR="000E4312">
        <w:rPr>
          <w:rFonts w:cs="Arial"/>
        </w:rPr>
        <w:t>ies</w:t>
      </w:r>
      <w:r w:rsidR="005874E7">
        <w:rPr>
          <w:rFonts w:cs="Arial"/>
        </w:rPr>
        <w:t>, some wind farm locations have been visited multiple times.</w:t>
      </w:r>
    </w:p>
    <w:p w14:paraId="7A5C0A27" w14:textId="77777777" w:rsidR="005874E7" w:rsidRPr="003929F8" w:rsidRDefault="005874E7" w:rsidP="005874E7">
      <w:pPr>
        <w:spacing w:after="120"/>
        <w:jc w:val="center"/>
        <w:rPr>
          <w:rFonts w:cs="Arial"/>
          <w:b/>
        </w:rPr>
      </w:pPr>
      <w:r w:rsidRPr="00A7772E">
        <w:rPr>
          <w:rFonts w:cs="Arial"/>
          <w:b/>
        </w:rPr>
        <w:lastRenderedPageBreak/>
        <w:t>Table 1: List of Wind Farm Locations visited by the Commissioner</w:t>
      </w:r>
    </w:p>
    <w:tbl>
      <w:tblPr>
        <w:tblStyle w:val="TableGrid"/>
        <w:tblW w:w="9781" w:type="dxa"/>
        <w:tblInd w:w="279" w:type="dxa"/>
        <w:tblLook w:val="04A0" w:firstRow="1" w:lastRow="0" w:firstColumn="1" w:lastColumn="0" w:noHBand="0" w:noVBand="1"/>
      </w:tblPr>
      <w:tblGrid>
        <w:gridCol w:w="2268"/>
        <w:gridCol w:w="3402"/>
        <w:gridCol w:w="4111"/>
      </w:tblGrid>
      <w:tr w:rsidR="005874E7" w14:paraId="491AD480" w14:textId="77777777" w:rsidTr="00C90C75">
        <w:trPr>
          <w:cnfStyle w:val="100000000000" w:firstRow="1" w:lastRow="0" w:firstColumn="0" w:lastColumn="0" w:oddVBand="0" w:evenVBand="0" w:oddHBand="0" w:evenHBand="0" w:firstRowFirstColumn="0" w:firstRowLastColumn="0" w:lastRowFirstColumn="0" w:lastRowLastColumn="0"/>
        </w:trPr>
        <w:tc>
          <w:tcPr>
            <w:tcW w:w="2268" w:type="dxa"/>
            <w:shd w:val="clear" w:color="auto" w:fill="C6D9F1" w:themeFill="text2" w:themeFillTint="33"/>
          </w:tcPr>
          <w:p w14:paraId="37FE78CC" w14:textId="77777777" w:rsidR="005874E7" w:rsidRPr="003929F8" w:rsidRDefault="005874E7" w:rsidP="00C90C75">
            <w:pPr>
              <w:spacing w:before="120" w:after="120"/>
              <w:jc w:val="center"/>
              <w:rPr>
                <w:rFonts w:cs="Arial"/>
                <w:b/>
              </w:rPr>
            </w:pPr>
            <w:r w:rsidRPr="003929F8">
              <w:rPr>
                <w:rFonts w:cs="Arial"/>
                <w:b/>
              </w:rPr>
              <w:t>State</w:t>
            </w:r>
          </w:p>
        </w:tc>
        <w:tc>
          <w:tcPr>
            <w:tcW w:w="7513" w:type="dxa"/>
            <w:gridSpan w:val="2"/>
            <w:tcBorders>
              <w:bottom w:val="single" w:sz="4" w:space="0" w:color="auto"/>
            </w:tcBorders>
            <w:shd w:val="clear" w:color="auto" w:fill="C6D9F1" w:themeFill="text2" w:themeFillTint="33"/>
          </w:tcPr>
          <w:p w14:paraId="386D030D" w14:textId="1D1DD29C" w:rsidR="005874E7" w:rsidRPr="003929F8" w:rsidRDefault="005874E7" w:rsidP="002F637C">
            <w:pPr>
              <w:spacing w:before="120" w:after="120"/>
              <w:jc w:val="center"/>
              <w:rPr>
                <w:rFonts w:cs="Arial"/>
                <w:b/>
              </w:rPr>
            </w:pPr>
            <w:r w:rsidRPr="003929F8">
              <w:rPr>
                <w:rFonts w:cs="Arial"/>
                <w:b/>
              </w:rPr>
              <w:t xml:space="preserve">Wind Farm </w:t>
            </w:r>
            <w:r w:rsidR="002F637C">
              <w:rPr>
                <w:rFonts w:cs="Arial"/>
                <w:b/>
              </w:rPr>
              <w:t>Projects</w:t>
            </w:r>
            <w:r w:rsidR="00830BF9">
              <w:rPr>
                <w:rFonts w:cs="Arial"/>
                <w:b/>
              </w:rPr>
              <w:t>/</w:t>
            </w:r>
            <w:r>
              <w:rPr>
                <w:rFonts w:cs="Arial"/>
                <w:b/>
              </w:rPr>
              <w:t>Locations</w:t>
            </w:r>
          </w:p>
        </w:tc>
      </w:tr>
      <w:tr w:rsidR="005874E7" w14:paraId="177A2A29" w14:textId="77777777" w:rsidTr="00C90C75">
        <w:trPr>
          <w:cnfStyle w:val="000000100000" w:firstRow="0" w:lastRow="0" w:firstColumn="0" w:lastColumn="0" w:oddVBand="0" w:evenVBand="0" w:oddHBand="1" w:evenHBand="0" w:firstRowFirstColumn="0" w:firstRowLastColumn="0" w:lastRowFirstColumn="0" w:lastRowLastColumn="0"/>
        </w:trPr>
        <w:tc>
          <w:tcPr>
            <w:tcW w:w="2268" w:type="dxa"/>
          </w:tcPr>
          <w:p w14:paraId="255716FB" w14:textId="77777777" w:rsidR="005874E7" w:rsidRDefault="005874E7" w:rsidP="00C90C75">
            <w:pPr>
              <w:spacing w:before="60" w:after="120"/>
              <w:rPr>
                <w:rFonts w:cs="Arial"/>
              </w:rPr>
            </w:pPr>
            <w:r>
              <w:rPr>
                <w:rFonts w:cs="Arial"/>
              </w:rPr>
              <w:t>Victoria</w:t>
            </w:r>
          </w:p>
        </w:tc>
        <w:tc>
          <w:tcPr>
            <w:tcW w:w="3402" w:type="dxa"/>
            <w:tcBorders>
              <w:right w:val="nil"/>
            </w:tcBorders>
          </w:tcPr>
          <w:p w14:paraId="191964EA" w14:textId="77777777" w:rsidR="00A7772E" w:rsidRPr="00A7772E" w:rsidRDefault="00A7772E" w:rsidP="00D35B01">
            <w:pPr>
              <w:pStyle w:val="ListParagraph"/>
              <w:numPr>
                <w:ilvl w:val="0"/>
                <w:numId w:val="28"/>
              </w:numPr>
              <w:spacing w:before="60" w:after="120" w:line="276" w:lineRule="auto"/>
              <w:ind w:left="714" w:hanging="357"/>
              <w:rPr>
                <w:rFonts w:cs="Arial"/>
              </w:rPr>
            </w:pPr>
            <w:r w:rsidRPr="00A7772E">
              <w:rPr>
                <w:rFonts w:cs="Arial"/>
              </w:rPr>
              <w:t>Ararat</w:t>
            </w:r>
          </w:p>
          <w:p w14:paraId="7E4134A7" w14:textId="77777777" w:rsidR="00A7772E" w:rsidRPr="00A7772E" w:rsidRDefault="00A7772E" w:rsidP="00D35B01">
            <w:pPr>
              <w:pStyle w:val="ListParagraph"/>
              <w:numPr>
                <w:ilvl w:val="0"/>
                <w:numId w:val="28"/>
              </w:numPr>
              <w:spacing w:before="60" w:after="120" w:line="276" w:lineRule="auto"/>
              <w:ind w:left="714" w:hanging="357"/>
              <w:rPr>
                <w:rFonts w:cs="Arial"/>
              </w:rPr>
            </w:pPr>
            <w:r w:rsidRPr="00A7772E">
              <w:rPr>
                <w:rFonts w:cs="Arial"/>
              </w:rPr>
              <w:t>Bald Hills</w:t>
            </w:r>
          </w:p>
          <w:p w14:paraId="268DEE18" w14:textId="77777777" w:rsidR="00A7772E" w:rsidRPr="00A7772E" w:rsidRDefault="00A7772E" w:rsidP="00D35B01">
            <w:pPr>
              <w:pStyle w:val="ListParagraph"/>
              <w:numPr>
                <w:ilvl w:val="0"/>
                <w:numId w:val="28"/>
              </w:numPr>
              <w:spacing w:before="60" w:after="120" w:line="276" w:lineRule="auto"/>
              <w:ind w:left="714" w:hanging="357"/>
              <w:rPr>
                <w:rFonts w:cs="Arial"/>
              </w:rPr>
            </w:pPr>
            <w:r w:rsidRPr="00A7772E">
              <w:rPr>
                <w:rFonts w:cs="Arial"/>
              </w:rPr>
              <w:t>Cape Bridgewater</w:t>
            </w:r>
          </w:p>
          <w:p w14:paraId="2DF3D946" w14:textId="77777777" w:rsidR="00A7772E" w:rsidRPr="00A7772E" w:rsidRDefault="00A7772E" w:rsidP="00D35B01">
            <w:pPr>
              <w:pStyle w:val="ListParagraph"/>
              <w:numPr>
                <w:ilvl w:val="0"/>
                <w:numId w:val="28"/>
              </w:numPr>
              <w:spacing w:before="60" w:after="120" w:line="276" w:lineRule="auto"/>
              <w:ind w:left="714" w:hanging="357"/>
              <w:rPr>
                <w:rFonts w:cs="Arial"/>
              </w:rPr>
            </w:pPr>
            <w:r w:rsidRPr="00A7772E">
              <w:rPr>
                <w:rFonts w:cs="Arial"/>
              </w:rPr>
              <w:t>Hawkesdale*</w:t>
            </w:r>
          </w:p>
          <w:p w14:paraId="7EE32200" w14:textId="77777777" w:rsidR="00A7772E" w:rsidRPr="00A7772E" w:rsidRDefault="00A7772E" w:rsidP="00D35B01">
            <w:pPr>
              <w:pStyle w:val="ListParagraph"/>
              <w:numPr>
                <w:ilvl w:val="0"/>
                <w:numId w:val="28"/>
              </w:numPr>
              <w:spacing w:before="60" w:after="120" w:line="276" w:lineRule="auto"/>
              <w:ind w:left="714" w:hanging="357"/>
              <w:rPr>
                <w:rFonts w:cs="Arial"/>
              </w:rPr>
            </w:pPr>
            <w:r w:rsidRPr="00A7772E">
              <w:rPr>
                <w:rFonts w:cs="Arial"/>
              </w:rPr>
              <w:t>Hepburn</w:t>
            </w:r>
          </w:p>
          <w:p w14:paraId="6A9C5674" w14:textId="77777777" w:rsidR="00A7772E" w:rsidRPr="00A7772E" w:rsidRDefault="00A7772E" w:rsidP="00D35B01">
            <w:pPr>
              <w:pStyle w:val="ListParagraph"/>
              <w:numPr>
                <w:ilvl w:val="0"/>
                <w:numId w:val="28"/>
              </w:numPr>
              <w:spacing w:before="60" w:after="120" w:line="276" w:lineRule="auto"/>
              <w:ind w:left="714" w:hanging="357"/>
              <w:rPr>
                <w:rFonts w:cs="Arial"/>
              </w:rPr>
            </w:pPr>
            <w:r w:rsidRPr="00A7772E">
              <w:rPr>
                <w:rFonts w:cs="Arial"/>
              </w:rPr>
              <w:t>Lal Lal*</w:t>
            </w:r>
          </w:p>
          <w:p w14:paraId="0AAD951B" w14:textId="77777777" w:rsidR="005874E7" w:rsidRPr="00A7772E" w:rsidRDefault="00A7772E" w:rsidP="00D35B01">
            <w:pPr>
              <w:pStyle w:val="ListParagraph"/>
              <w:numPr>
                <w:ilvl w:val="0"/>
                <w:numId w:val="28"/>
              </w:numPr>
              <w:spacing w:before="60" w:after="120" w:line="276" w:lineRule="auto"/>
              <w:ind w:left="714" w:hanging="357"/>
              <w:rPr>
                <w:rFonts w:cs="Arial"/>
              </w:rPr>
            </w:pPr>
            <w:r w:rsidRPr="00A7772E">
              <w:rPr>
                <w:rFonts w:cs="Arial"/>
              </w:rPr>
              <w:t>Macarthur</w:t>
            </w:r>
          </w:p>
        </w:tc>
        <w:tc>
          <w:tcPr>
            <w:tcW w:w="4111" w:type="dxa"/>
            <w:tcBorders>
              <w:left w:val="nil"/>
            </w:tcBorders>
          </w:tcPr>
          <w:p w14:paraId="403DF50A" w14:textId="77777777" w:rsidR="00A7772E" w:rsidRPr="00A7772E" w:rsidRDefault="00A7772E" w:rsidP="00D35B01">
            <w:pPr>
              <w:pStyle w:val="ListParagraph"/>
              <w:numPr>
                <w:ilvl w:val="0"/>
                <w:numId w:val="28"/>
              </w:numPr>
              <w:spacing w:before="60" w:after="120" w:line="276" w:lineRule="auto"/>
              <w:ind w:left="714" w:hanging="357"/>
              <w:rPr>
                <w:rFonts w:cs="Arial"/>
              </w:rPr>
            </w:pPr>
            <w:r w:rsidRPr="00A7772E">
              <w:rPr>
                <w:rFonts w:cs="Arial"/>
              </w:rPr>
              <w:t>Moorabool*</w:t>
            </w:r>
          </w:p>
          <w:p w14:paraId="23EE5E5F" w14:textId="77777777" w:rsidR="00A7772E" w:rsidRPr="00A7772E" w:rsidRDefault="00A7772E" w:rsidP="00D35B01">
            <w:pPr>
              <w:pStyle w:val="ListParagraph"/>
              <w:numPr>
                <w:ilvl w:val="0"/>
                <w:numId w:val="28"/>
              </w:numPr>
              <w:spacing w:before="60" w:after="120" w:line="276" w:lineRule="auto"/>
              <w:ind w:left="714" w:hanging="357"/>
              <w:rPr>
                <w:rFonts w:cs="Arial"/>
              </w:rPr>
            </w:pPr>
            <w:r w:rsidRPr="00A7772E">
              <w:rPr>
                <w:rFonts w:cs="Arial"/>
              </w:rPr>
              <w:t>Mt Gellibrand</w:t>
            </w:r>
          </w:p>
          <w:p w14:paraId="285B1D59" w14:textId="4A81AD68" w:rsidR="00830BF9" w:rsidRDefault="00830BF9" w:rsidP="00D35B01">
            <w:pPr>
              <w:pStyle w:val="ListParagraph"/>
              <w:numPr>
                <w:ilvl w:val="0"/>
                <w:numId w:val="28"/>
              </w:numPr>
              <w:spacing w:before="60" w:after="120" w:line="276" w:lineRule="auto"/>
              <w:ind w:left="714" w:hanging="357"/>
              <w:rPr>
                <w:rFonts w:cs="Arial"/>
              </w:rPr>
            </w:pPr>
            <w:r>
              <w:rPr>
                <w:rFonts w:cs="Arial"/>
              </w:rPr>
              <w:t>Naroghid*</w:t>
            </w:r>
          </w:p>
          <w:p w14:paraId="0AA71EE8" w14:textId="77777777" w:rsidR="00A7772E" w:rsidRPr="00A7772E" w:rsidRDefault="00A7772E" w:rsidP="00D35B01">
            <w:pPr>
              <w:pStyle w:val="ListParagraph"/>
              <w:numPr>
                <w:ilvl w:val="0"/>
                <w:numId w:val="28"/>
              </w:numPr>
              <w:spacing w:before="60" w:after="120" w:line="276" w:lineRule="auto"/>
              <w:ind w:left="714" w:hanging="357"/>
              <w:rPr>
                <w:rFonts w:cs="Arial"/>
              </w:rPr>
            </w:pPr>
            <w:r w:rsidRPr="00A7772E">
              <w:rPr>
                <w:rFonts w:cs="Arial"/>
              </w:rPr>
              <w:t>Oaklands Hill</w:t>
            </w:r>
          </w:p>
          <w:p w14:paraId="48596D31" w14:textId="77777777" w:rsidR="00A7772E" w:rsidRPr="00A7772E" w:rsidRDefault="00A7772E" w:rsidP="00D35B01">
            <w:pPr>
              <w:pStyle w:val="ListParagraph"/>
              <w:numPr>
                <w:ilvl w:val="0"/>
                <w:numId w:val="28"/>
              </w:numPr>
              <w:spacing w:before="60" w:after="120" w:line="276" w:lineRule="auto"/>
              <w:ind w:left="714" w:hanging="357"/>
              <w:rPr>
                <w:rFonts w:cs="Arial"/>
              </w:rPr>
            </w:pPr>
            <w:r w:rsidRPr="00A7772E">
              <w:rPr>
                <w:rFonts w:cs="Arial"/>
              </w:rPr>
              <w:t>Waubra</w:t>
            </w:r>
          </w:p>
          <w:p w14:paraId="29BED282" w14:textId="77777777" w:rsidR="00A7772E" w:rsidRPr="00A7772E" w:rsidRDefault="00A7772E" w:rsidP="00D35B01">
            <w:pPr>
              <w:pStyle w:val="ListParagraph"/>
              <w:numPr>
                <w:ilvl w:val="0"/>
                <w:numId w:val="28"/>
              </w:numPr>
              <w:spacing w:before="60" w:after="120" w:line="276" w:lineRule="auto"/>
              <w:ind w:left="714" w:hanging="357"/>
              <w:rPr>
                <w:rFonts w:cs="Arial"/>
              </w:rPr>
            </w:pPr>
            <w:r w:rsidRPr="00A7772E">
              <w:rPr>
                <w:rFonts w:cs="Arial"/>
              </w:rPr>
              <w:t>Wonthaggi</w:t>
            </w:r>
          </w:p>
          <w:p w14:paraId="189E99AC" w14:textId="77777777" w:rsidR="005874E7" w:rsidRPr="000140D3" w:rsidRDefault="00A7772E" w:rsidP="00D35B01">
            <w:pPr>
              <w:pStyle w:val="ListParagraph"/>
              <w:numPr>
                <w:ilvl w:val="0"/>
                <w:numId w:val="28"/>
              </w:numPr>
              <w:spacing w:before="60" w:after="120" w:line="276" w:lineRule="auto"/>
              <w:ind w:left="714" w:hanging="357"/>
              <w:rPr>
                <w:rFonts w:cs="Arial"/>
              </w:rPr>
            </w:pPr>
            <w:r w:rsidRPr="00A7772E">
              <w:rPr>
                <w:rFonts w:cs="Arial"/>
              </w:rPr>
              <w:t>Willatook*</w:t>
            </w:r>
          </w:p>
        </w:tc>
      </w:tr>
      <w:tr w:rsidR="005874E7" w14:paraId="5E0DA29E" w14:textId="77777777" w:rsidTr="00C90C75">
        <w:trPr>
          <w:cnfStyle w:val="000000010000" w:firstRow="0" w:lastRow="0" w:firstColumn="0" w:lastColumn="0" w:oddVBand="0" w:evenVBand="0" w:oddHBand="0" w:evenHBand="1" w:firstRowFirstColumn="0" w:firstRowLastColumn="0" w:lastRowFirstColumn="0" w:lastRowLastColumn="0"/>
        </w:trPr>
        <w:tc>
          <w:tcPr>
            <w:tcW w:w="2268" w:type="dxa"/>
          </w:tcPr>
          <w:p w14:paraId="44B03618" w14:textId="77777777" w:rsidR="005874E7" w:rsidRDefault="005874E7" w:rsidP="00C90C75">
            <w:pPr>
              <w:spacing w:before="60" w:after="120"/>
              <w:rPr>
                <w:rFonts w:cs="Arial"/>
              </w:rPr>
            </w:pPr>
            <w:r>
              <w:rPr>
                <w:rFonts w:cs="Arial"/>
              </w:rPr>
              <w:t>New South Wales</w:t>
            </w:r>
          </w:p>
        </w:tc>
        <w:tc>
          <w:tcPr>
            <w:tcW w:w="3402" w:type="dxa"/>
            <w:tcBorders>
              <w:right w:val="nil"/>
            </w:tcBorders>
          </w:tcPr>
          <w:p w14:paraId="37181055" w14:textId="77777777" w:rsidR="00A7772E" w:rsidRPr="00A7772E" w:rsidRDefault="00A7772E" w:rsidP="00D35B01">
            <w:pPr>
              <w:pStyle w:val="ListParagraph"/>
              <w:numPr>
                <w:ilvl w:val="0"/>
                <w:numId w:val="29"/>
              </w:numPr>
              <w:spacing w:before="60" w:after="120" w:line="276" w:lineRule="auto"/>
              <w:rPr>
                <w:rFonts w:cs="Arial"/>
              </w:rPr>
            </w:pPr>
            <w:r w:rsidRPr="00A7772E">
              <w:rPr>
                <w:rFonts w:cs="Arial"/>
              </w:rPr>
              <w:t>Bango*</w:t>
            </w:r>
          </w:p>
          <w:p w14:paraId="31377003" w14:textId="77777777" w:rsidR="00A7772E" w:rsidRPr="00A7772E" w:rsidRDefault="00A7772E" w:rsidP="00D35B01">
            <w:pPr>
              <w:pStyle w:val="ListParagraph"/>
              <w:numPr>
                <w:ilvl w:val="0"/>
                <w:numId w:val="29"/>
              </w:numPr>
              <w:spacing w:before="60" w:after="120" w:line="276" w:lineRule="auto"/>
              <w:rPr>
                <w:rFonts w:cs="Arial"/>
              </w:rPr>
            </w:pPr>
            <w:r w:rsidRPr="00A7772E">
              <w:rPr>
                <w:rFonts w:cs="Arial"/>
              </w:rPr>
              <w:t>Collector*</w:t>
            </w:r>
          </w:p>
          <w:p w14:paraId="36D0E27B" w14:textId="77777777" w:rsidR="00A7772E" w:rsidRDefault="00A7772E" w:rsidP="00D35B01">
            <w:pPr>
              <w:pStyle w:val="ListParagraph"/>
              <w:numPr>
                <w:ilvl w:val="0"/>
                <w:numId w:val="29"/>
              </w:numPr>
              <w:spacing w:before="60" w:after="120" w:line="276" w:lineRule="auto"/>
              <w:rPr>
                <w:rFonts w:cs="Arial"/>
              </w:rPr>
            </w:pPr>
            <w:r w:rsidRPr="00A7772E">
              <w:rPr>
                <w:rFonts w:cs="Arial"/>
              </w:rPr>
              <w:t>Coppabella*</w:t>
            </w:r>
          </w:p>
          <w:p w14:paraId="1C256651" w14:textId="61D2FB61" w:rsidR="002F637C" w:rsidRDefault="002F637C" w:rsidP="00D35B01">
            <w:pPr>
              <w:pStyle w:val="ListParagraph"/>
              <w:numPr>
                <w:ilvl w:val="0"/>
                <w:numId w:val="29"/>
              </w:numPr>
              <w:spacing w:before="60" w:after="120" w:line="276" w:lineRule="auto"/>
              <w:rPr>
                <w:rFonts w:cs="Arial"/>
              </w:rPr>
            </w:pPr>
            <w:r>
              <w:rPr>
                <w:rFonts w:cs="Arial"/>
              </w:rPr>
              <w:t>Crookwell I</w:t>
            </w:r>
          </w:p>
          <w:p w14:paraId="068D55CA" w14:textId="3E577937" w:rsidR="00A7772E" w:rsidRPr="00A7772E" w:rsidRDefault="00A7772E" w:rsidP="00D35B01">
            <w:pPr>
              <w:pStyle w:val="ListParagraph"/>
              <w:numPr>
                <w:ilvl w:val="0"/>
                <w:numId w:val="29"/>
              </w:numPr>
              <w:spacing w:before="60" w:after="120" w:line="276" w:lineRule="auto"/>
              <w:rPr>
                <w:rFonts w:cs="Arial"/>
              </w:rPr>
            </w:pPr>
            <w:r>
              <w:rPr>
                <w:rFonts w:cs="Arial"/>
              </w:rPr>
              <w:t>Crookwell I</w:t>
            </w:r>
            <w:r w:rsidR="000E4312">
              <w:rPr>
                <w:rFonts w:cs="Arial"/>
              </w:rPr>
              <w:t>I</w:t>
            </w:r>
          </w:p>
          <w:p w14:paraId="7720D655" w14:textId="77777777" w:rsidR="00A7772E" w:rsidRPr="00A7772E" w:rsidRDefault="00A7772E" w:rsidP="00D35B01">
            <w:pPr>
              <w:pStyle w:val="ListParagraph"/>
              <w:numPr>
                <w:ilvl w:val="0"/>
                <w:numId w:val="29"/>
              </w:numPr>
              <w:spacing w:before="60" w:after="120" w:line="276" w:lineRule="auto"/>
              <w:rPr>
                <w:rFonts w:cs="Arial"/>
              </w:rPr>
            </w:pPr>
            <w:r w:rsidRPr="00A7772E">
              <w:rPr>
                <w:rFonts w:cs="Arial"/>
              </w:rPr>
              <w:t>Crudine Ridge*</w:t>
            </w:r>
          </w:p>
          <w:p w14:paraId="41CB84AC" w14:textId="77777777" w:rsidR="00A7772E" w:rsidRPr="00A7772E" w:rsidRDefault="00A7772E" w:rsidP="00D35B01">
            <w:pPr>
              <w:pStyle w:val="ListParagraph"/>
              <w:numPr>
                <w:ilvl w:val="0"/>
                <w:numId w:val="29"/>
              </w:numPr>
              <w:spacing w:before="60" w:after="120" w:line="276" w:lineRule="auto"/>
              <w:rPr>
                <w:rFonts w:cs="Arial"/>
              </w:rPr>
            </w:pPr>
            <w:r w:rsidRPr="00A7772E">
              <w:rPr>
                <w:rFonts w:cs="Arial"/>
              </w:rPr>
              <w:t>Cullerin Range</w:t>
            </w:r>
          </w:p>
          <w:p w14:paraId="37AD95D3" w14:textId="77777777" w:rsidR="005874E7" w:rsidRPr="00A7772E" w:rsidRDefault="00A7772E" w:rsidP="00D35B01">
            <w:pPr>
              <w:pStyle w:val="ListParagraph"/>
              <w:numPr>
                <w:ilvl w:val="0"/>
                <w:numId w:val="29"/>
              </w:numPr>
              <w:spacing w:before="60" w:after="120" w:line="276" w:lineRule="auto"/>
              <w:rPr>
                <w:rFonts w:cs="Arial"/>
              </w:rPr>
            </w:pPr>
            <w:r w:rsidRPr="00A7772E">
              <w:rPr>
                <w:rFonts w:cs="Arial"/>
              </w:rPr>
              <w:t>Glen Innes*</w:t>
            </w:r>
          </w:p>
        </w:tc>
        <w:tc>
          <w:tcPr>
            <w:tcW w:w="4111" w:type="dxa"/>
            <w:tcBorders>
              <w:left w:val="nil"/>
            </w:tcBorders>
          </w:tcPr>
          <w:p w14:paraId="1959833E" w14:textId="77777777" w:rsidR="00A7772E" w:rsidRDefault="00A7772E" w:rsidP="00D35B01">
            <w:pPr>
              <w:pStyle w:val="ListParagraph"/>
              <w:numPr>
                <w:ilvl w:val="0"/>
                <w:numId w:val="29"/>
              </w:numPr>
              <w:spacing w:before="60" w:after="120" w:line="276" w:lineRule="auto"/>
              <w:rPr>
                <w:rFonts w:cs="Arial"/>
              </w:rPr>
            </w:pPr>
            <w:r w:rsidRPr="00A7772E">
              <w:rPr>
                <w:rFonts w:cs="Arial"/>
              </w:rPr>
              <w:t>Gullen Range</w:t>
            </w:r>
            <w:r>
              <w:rPr>
                <w:rFonts w:cs="Arial"/>
              </w:rPr>
              <w:t xml:space="preserve"> </w:t>
            </w:r>
          </w:p>
          <w:p w14:paraId="1A0C8EDC" w14:textId="77777777" w:rsidR="00A7772E" w:rsidRPr="00A7772E" w:rsidRDefault="00A7772E" w:rsidP="00D35B01">
            <w:pPr>
              <w:pStyle w:val="ListParagraph"/>
              <w:numPr>
                <w:ilvl w:val="0"/>
                <w:numId w:val="29"/>
              </w:numPr>
              <w:spacing w:before="60" w:after="120" w:line="276" w:lineRule="auto"/>
              <w:rPr>
                <w:rFonts w:cs="Arial"/>
              </w:rPr>
            </w:pPr>
            <w:r w:rsidRPr="00A7772E">
              <w:rPr>
                <w:rFonts w:cs="Arial"/>
              </w:rPr>
              <w:t>Gunning</w:t>
            </w:r>
          </w:p>
          <w:p w14:paraId="6ED13D46" w14:textId="77777777" w:rsidR="00A7772E" w:rsidRPr="00A7772E" w:rsidRDefault="00A7772E" w:rsidP="00D35B01">
            <w:pPr>
              <w:pStyle w:val="ListParagraph"/>
              <w:numPr>
                <w:ilvl w:val="0"/>
                <w:numId w:val="29"/>
              </w:numPr>
              <w:spacing w:before="60" w:after="120" w:line="276" w:lineRule="auto"/>
              <w:rPr>
                <w:rFonts w:cs="Arial"/>
              </w:rPr>
            </w:pPr>
            <w:r w:rsidRPr="00A7772E">
              <w:rPr>
                <w:rFonts w:cs="Arial"/>
              </w:rPr>
              <w:t>Jupiter*</w:t>
            </w:r>
          </w:p>
          <w:p w14:paraId="6C289ED6" w14:textId="77777777" w:rsidR="00A7772E" w:rsidRPr="00A7772E" w:rsidRDefault="00A7772E" w:rsidP="00D35B01">
            <w:pPr>
              <w:pStyle w:val="ListParagraph"/>
              <w:numPr>
                <w:ilvl w:val="0"/>
                <w:numId w:val="29"/>
              </w:numPr>
              <w:spacing w:before="60" w:after="120" w:line="276" w:lineRule="auto"/>
              <w:rPr>
                <w:rFonts w:cs="Arial"/>
              </w:rPr>
            </w:pPr>
            <w:r w:rsidRPr="00A7772E">
              <w:rPr>
                <w:rFonts w:cs="Arial"/>
              </w:rPr>
              <w:t>NSW Energy Cluster*</w:t>
            </w:r>
          </w:p>
          <w:p w14:paraId="6D62740C" w14:textId="77777777" w:rsidR="00A7772E" w:rsidRPr="00A7772E" w:rsidRDefault="00A7772E" w:rsidP="00D35B01">
            <w:pPr>
              <w:pStyle w:val="ListParagraph"/>
              <w:numPr>
                <w:ilvl w:val="0"/>
                <w:numId w:val="29"/>
              </w:numPr>
              <w:spacing w:before="60" w:after="120" w:line="276" w:lineRule="auto"/>
              <w:rPr>
                <w:rFonts w:cs="Arial"/>
              </w:rPr>
            </w:pPr>
            <w:r w:rsidRPr="00A7772E">
              <w:rPr>
                <w:rFonts w:cs="Arial"/>
              </w:rPr>
              <w:t>Sapphire*</w:t>
            </w:r>
          </w:p>
          <w:p w14:paraId="750AD762" w14:textId="77777777" w:rsidR="00A7772E" w:rsidRPr="00A7772E" w:rsidRDefault="00A7772E" w:rsidP="00D35B01">
            <w:pPr>
              <w:pStyle w:val="ListParagraph"/>
              <w:numPr>
                <w:ilvl w:val="0"/>
                <w:numId w:val="29"/>
              </w:numPr>
              <w:spacing w:before="60" w:after="120" w:line="276" w:lineRule="auto"/>
              <w:rPr>
                <w:rFonts w:cs="Arial"/>
              </w:rPr>
            </w:pPr>
            <w:r w:rsidRPr="00A7772E">
              <w:rPr>
                <w:rFonts w:cs="Arial"/>
              </w:rPr>
              <w:t>White Rock</w:t>
            </w:r>
          </w:p>
          <w:p w14:paraId="3BF5C183" w14:textId="77777777" w:rsidR="005874E7" w:rsidRPr="00A7772E" w:rsidRDefault="00A7772E" w:rsidP="00D35B01">
            <w:pPr>
              <w:pStyle w:val="ListParagraph"/>
              <w:numPr>
                <w:ilvl w:val="0"/>
                <w:numId w:val="29"/>
              </w:numPr>
              <w:spacing w:before="60" w:after="120" w:line="276" w:lineRule="auto"/>
              <w:rPr>
                <w:rFonts w:cs="Arial"/>
              </w:rPr>
            </w:pPr>
            <w:r w:rsidRPr="00A7772E">
              <w:rPr>
                <w:rFonts w:cs="Arial"/>
              </w:rPr>
              <w:t>Walcha*</w:t>
            </w:r>
          </w:p>
        </w:tc>
      </w:tr>
      <w:tr w:rsidR="005874E7" w14:paraId="78713DC9" w14:textId="77777777" w:rsidTr="00C90C75">
        <w:trPr>
          <w:cnfStyle w:val="000000100000" w:firstRow="0" w:lastRow="0" w:firstColumn="0" w:lastColumn="0" w:oddVBand="0" w:evenVBand="0" w:oddHBand="1" w:evenHBand="0" w:firstRowFirstColumn="0" w:firstRowLastColumn="0" w:lastRowFirstColumn="0" w:lastRowLastColumn="0"/>
        </w:trPr>
        <w:tc>
          <w:tcPr>
            <w:tcW w:w="2268" w:type="dxa"/>
          </w:tcPr>
          <w:p w14:paraId="4C24740B" w14:textId="77777777" w:rsidR="005874E7" w:rsidRPr="003929F8" w:rsidRDefault="005874E7" w:rsidP="00C90C75">
            <w:pPr>
              <w:spacing w:before="60" w:after="120"/>
              <w:rPr>
                <w:rFonts w:cs="Arial"/>
              </w:rPr>
            </w:pPr>
            <w:r w:rsidRPr="003929F8">
              <w:rPr>
                <w:rFonts w:cs="Arial"/>
              </w:rPr>
              <w:t>South Australia</w:t>
            </w:r>
          </w:p>
          <w:p w14:paraId="2D84B25F" w14:textId="77777777" w:rsidR="005874E7" w:rsidRDefault="005874E7" w:rsidP="00C90C75">
            <w:pPr>
              <w:spacing w:before="60" w:after="120"/>
              <w:rPr>
                <w:rFonts w:cs="Arial"/>
              </w:rPr>
            </w:pPr>
          </w:p>
        </w:tc>
        <w:tc>
          <w:tcPr>
            <w:tcW w:w="3402" w:type="dxa"/>
            <w:tcBorders>
              <w:right w:val="nil"/>
            </w:tcBorders>
          </w:tcPr>
          <w:p w14:paraId="56BBC153" w14:textId="77777777" w:rsidR="00A7772E" w:rsidRPr="00A7772E" w:rsidRDefault="00A7772E" w:rsidP="00D35B01">
            <w:pPr>
              <w:pStyle w:val="ListParagraph"/>
              <w:numPr>
                <w:ilvl w:val="0"/>
                <w:numId w:val="29"/>
              </w:numPr>
              <w:spacing w:before="60" w:after="120" w:line="276" w:lineRule="auto"/>
              <w:ind w:left="714" w:hanging="357"/>
              <w:rPr>
                <w:rFonts w:cs="Arial"/>
              </w:rPr>
            </w:pPr>
            <w:r w:rsidRPr="00A7772E">
              <w:rPr>
                <w:rFonts w:cs="Arial"/>
              </w:rPr>
              <w:t>Hallet</w:t>
            </w:r>
          </w:p>
          <w:p w14:paraId="7BF46CAF" w14:textId="77777777" w:rsidR="005874E7" w:rsidRPr="00A7772E" w:rsidRDefault="00A7772E" w:rsidP="00D35B01">
            <w:pPr>
              <w:pStyle w:val="ListParagraph"/>
              <w:numPr>
                <w:ilvl w:val="0"/>
                <w:numId w:val="29"/>
              </w:numPr>
              <w:spacing w:before="60" w:after="120" w:line="276" w:lineRule="auto"/>
              <w:ind w:left="714" w:hanging="357"/>
              <w:rPr>
                <w:rFonts w:cs="Arial"/>
              </w:rPr>
            </w:pPr>
            <w:r w:rsidRPr="00A7772E">
              <w:rPr>
                <w:rFonts w:cs="Arial"/>
              </w:rPr>
              <w:t>Palmer*</w:t>
            </w:r>
          </w:p>
        </w:tc>
        <w:tc>
          <w:tcPr>
            <w:tcW w:w="4111" w:type="dxa"/>
            <w:tcBorders>
              <w:left w:val="nil"/>
            </w:tcBorders>
          </w:tcPr>
          <w:p w14:paraId="6AFA661D" w14:textId="77777777" w:rsidR="00A7772E" w:rsidRPr="00A7772E" w:rsidRDefault="00A7772E" w:rsidP="00D35B01">
            <w:pPr>
              <w:pStyle w:val="ListParagraph"/>
              <w:numPr>
                <w:ilvl w:val="0"/>
                <w:numId w:val="29"/>
              </w:numPr>
              <w:spacing w:before="60" w:after="120" w:line="276" w:lineRule="auto"/>
              <w:ind w:left="714" w:hanging="357"/>
              <w:rPr>
                <w:rFonts w:cs="Arial"/>
              </w:rPr>
            </w:pPr>
            <w:r w:rsidRPr="00A7772E">
              <w:rPr>
                <w:rFonts w:cs="Arial"/>
              </w:rPr>
              <w:t>Snowtown</w:t>
            </w:r>
          </w:p>
          <w:p w14:paraId="232C6025" w14:textId="77777777" w:rsidR="005874E7" w:rsidRPr="00A7772E" w:rsidRDefault="00A7772E" w:rsidP="00D35B01">
            <w:pPr>
              <w:pStyle w:val="ListParagraph"/>
              <w:numPr>
                <w:ilvl w:val="0"/>
                <w:numId w:val="29"/>
              </w:numPr>
              <w:spacing w:before="60" w:after="120" w:line="276" w:lineRule="auto"/>
              <w:ind w:left="714" w:hanging="357"/>
              <w:rPr>
                <w:rFonts w:cs="Arial"/>
              </w:rPr>
            </w:pPr>
            <w:r>
              <w:rPr>
                <w:rFonts w:cs="Arial"/>
              </w:rPr>
              <w:t>Waterloo</w:t>
            </w:r>
          </w:p>
        </w:tc>
      </w:tr>
      <w:tr w:rsidR="00A7772E" w14:paraId="5A66895C" w14:textId="77777777" w:rsidTr="00C90C75">
        <w:trPr>
          <w:cnfStyle w:val="000000010000" w:firstRow="0" w:lastRow="0" w:firstColumn="0" w:lastColumn="0" w:oddVBand="0" w:evenVBand="0" w:oddHBand="0" w:evenHBand="1" w:firstRowFirstColumn="0" w:firstRowLastColumn="0" w:lastRowFirstColumn="0" w:lastRowLastColumn="0"/>
        </w:trPr>
        <w:tc>
          <w:tcPr>
            <w:tcW w:w="2268" w:type="dxa"/>
          </w:tcPr>
          <w:p w14:paraId="2B5C39C3" w14:textId="77777777" w:rsidR="00A7772E" w:rsidRPr="003929F8" w:rsidRDefault="00A7772E" w:rsidP="00C90C75">
            <w:pPr>
              <w:spacing w:before="60" w:after="120"/>
              <w:rPr>
                <w:rFonts w:cs="Arial"/>
              </w:rPr>
            </w:pPr>
            <w:r>
              <w:rPr>
                <w:rFonts w:cs="Arial"/>
              </w:rPr>
              <w:t>Tasmania</w:t>
            </w:r>
          </w:p>
        </w:tc>
        <w:tc>
          <w:tcPr>
            <w:tcW w:w="3402" w:type="dxa"/>
            <w:tcBorders>
              <w:right w:val="nil"/>
            </w:tcBorders>
          </w:tcPr>
          <w:p w14:paraId="0C20BD7E" w14:textId="77777777" w:rsidR="00A7772E" w:rsidRPr="00A7772E" w:rsidRDefault="00A7772E" w:rsidP="00D35B01">
            <w:pPr>
              <w:pStyle w:val="ListParagraph"/>
              <w:numPr>
                <w:ilvl w:val="0"/>
                <w:numId w:val="29"/>
              </w:numPr>
              <w:spacing w:before="60" w:after="120"/>
              <w:ind w:left="714" w:hanging="357"/>
              <w:rPr>
                <w:rFonts w:cs="Arial"/>
              </w:rPr>
            </w:pPr>
            <w:r>
              <w:rPr>
                <w:rFonts w:cs="Arial"/>
              </w:rPr>
              <w:t>Musselroe</w:t>
            </w:r>
          </w:p>
        </w:tc>
        <w:tc>
          <w:tcPr>
            <w:tcW w:w="4111" w:type="dxa"/>
            <w:tcBorders>
              <w:left w:val="nil"/>
            </w:tcBorders>
          </w:tcPr>
          <w:p w14:paraId="5F124178" w14:textId="77777777" w:rsidR="00A7772E" w:rsidRPr="00A7772E" w:rsidRDefault="00A7772E" w:rsidP="00A7772E">
            <w:pPr>
              <w:spacing w:before="60" w:after="120"/>
              <w:ind w:left="357"/>
              <w:rPr>
                <w:rFonts w:cs="Arial"/>
              </w:rPr>
            </w:pPr>
          </w:p>
        </w:tc>
      </w:tr>
    </w:tbl>
    <w:p w14:paraId="03C2EB07" w14:textId="4E560AE6" w:rsidR="005874E7" w:rsidRDefault="005874E7" w:rsidP="00B60AC7">
      <w:pPr>
        <w:spacing w:before="120" w:after="120"/>
        <w:rPr>
          <w:rFonts w:cs="Arial"/>
        </w:rPr>
        <w:sectPr w:rsidR="005874E7" w:rsidSect="0084728C">
          <w:headerReference w:type="even" r:id="rId48"/>
          <w:headerReference w:type="default" r:id="rId49"/>
          <w:headerReference w:type="first" r:id="rId50"/>
          <w:type w:val="continuous"/>
          <w:pgSz w:w="11906" w:h="16838" w:code="9"/>
          <w:pgMar w:top="720" w:right="720" w:bottom="720" w:left="720" w:header="425" w:footer="425" w:gutter="0"/>
          <w:cols w:space="708"/>
          <w:docGrid w:linePitch="360"/>
        </w:sectPr>
      </w:pPr>
      <w:bookmarkStart w:id="28" w:name="_Toc465253678"/>
      <w:r w:rsidRPr="004A6BBF">
        <w:rPr>
          <w:sz w:val="20"/>
          <w:szCs w:val="20"/>
        </w:rPr>
        <w:t xml:space="preserve">     </w:t>
      </w:r>
      <w:r>
        <w:rPr>
          <w:sz w:val="20"/>
          <w:szCs w:val="20"/>
        </w:rPr>
        <w:t xml:space="preserve">  </w:t>
      </w:r>
      <w:r w:rsidRPr="004A6BBF">
        <w:rPr>
          <w:sz w:val="20"/>
          <w:szCs w:val="20"/>
        </w:rPr>
        <w:t xml:space="preserve">* </w:t>
      </w:r>
      <w:r w:rsidR="007B2443" w:rsidRPr="004A6BBF">
        <w:rPr>
          <w:sz w:val="20"/>
          <w:szCs w:val="20"/>
        </w:rPr>
        <w:t>Proposed</w:t>
      </w:r>
      <w:r w:rsidRPr="004A6BBF">
        <w:rPr>
          <w:sz w:val="20"/>
          <w:szCs w:val="20"/>
        </w:rPr>
        <w:t xml:space="preserve"> </w:t>
      </w:r>
      <w:r w:rsidR="00FD6EFA">
        <w:rPr>
          <w:sz w:val="20"/>
          <w:szCs w:val="20"/>
        </w:rPr>
        <w:t xml:space="preserve">wind farm or </w:t>
      </w:r>
      <w:r w:rsidRPr="004A6BBF">
        <w:rPr>
          <w:sz w:val="20"/>
          <w:szCs w:val="20"/>
        </w:rPr>
        <w:t>wind farm</w:t>
      </w:r>
      <w:bookmarkEnd w:id="28"/>
      <w:r w:rsidR="00FD6EFA">
        <w:rPr>
          <w:sz w:val="20"/>
          <w:szCs w:val="20"/>
        </w:rPr>
        <w:t xml:space="preserve"> under construction</w:t>
      </w:r>
    </w:p>
    <w:p w14:paraId="67BF2011" w14:textId="77777777" w:rsidR="00947ED2" w:rsidRPr="00F47E6D" w:rsidRDefault="00947ED2" w:rsidP="00947ED2">
      <w:pPr>
        <w:pStyle w:val="Heading1"/>
      </w:pPr>
      <w:bookmarkStart w:id="29" w:name="_Toc511140622"/>
      <w:bookmarkStart w:id="30" w:name="_Toc465253687"/>
      <w:r>
        <w:lastRenderedPageBreak/>
        <w:t xml:space="preserve">UPDATED </w:t>
      </w:r>
      <w:r w:rsidRPr="00F47E6D">
        <w:t>Observations and recommendations</w:t>
      </w:r>
      <w:bookmarkEnd w:id="29"/>
    </w:p>
    <w:p w14:paraId="2A3E12AE" w14:textId="117980CE" w:rsidR="00947ED2" w:rsidRDefault="00947ED2" w:rsidP="00947ED2">
      <w:pPr>
        <w:rPr>
          <w:rFonts w:cs="Arial"/>
        </w:rPr>
      </w:pPr>
      <w:r>
        <w:rPr>
          <w:rFonts w:cs="Arial"/>
        </w:rPr>
        <w:t xml:space="preserve">In the Commissioner’s 2016 Annual Report, the Commissioner made a number of observations and recommendations based on experience from handling complaints received and engagement with a large number of stakeholders. These observations and recommendations covered a broad range of topics, including </w:t>
      </w:r>
      <w:r w:rsidRPr="00F47E6D">
        <w:rPr>
          <w:rFonts w:cs="Arial"/>
        </w:rPr>
        <w:t xml:space="preserve">areas for potential improvement in the planning, governance and operation of the wind energy industry. </w:t>
      </w:r>
    </w:p>
    <w:p w14:paraId="2A5F6345" w14:textId="639823BB" w:rsidR="00947ED2" w:rsidRDefault="00947ED2" w:rsidP="00947ED2">
      <w:pPr>
        <w:rPr>
          <w:rFonts w:cs="Arial"/>
        </w:rPr>
      </w:pPr>
      <w:r>
        <w:rPr>
          <w:rFonts w:cs="Arial"/>
        </w:rPr>
        <w:t>The report received significant feedback from stakeholders. Much of the feedback was very supportive and aligned with the recommendations, along with constructive feedback that was received that suggested further refinements and clarifications.</w:t>
      </w:r>
    </w:p>
    <w:p w14:paraId="2870218A" w14:textId="59F9D92A" w:rsidR="00947ED2" w:rsidRPr="00F47E6D" w:rsidRDefault="00947ED2" w:rsidP="00947ED2">
      <w:pPr>
        <w:rPr>
          <w:rFonts w:cs="Arial"/>
        </w:rPr>
      </w:pPr>
      <w:r>
        <w:rPr>
          <w:rFonts w:cs="Arial"/>
        </w:rPr>
        <w:t xml:space="preserve">The following sections are based on the 2016 report and have been updated to include further </w:t>
      </w:r>
      <w:r w:rsidR="00E84FBD">
        <w:rPr>
          <w:rFonts w:cs="Arial"/>
        </w:rPr>
        <w:t>observations made</w:t>
      </w:r>
      <w:r>
        <w:rPr>
          <w:rFonts w:cs="Arial"/>
        </w:rPr>
        <w:t xml:space="preserve"> during 2017</w:t>
      </w:r>
      <w:r w:rsidR="00E84FBD">
        <w:rPr>
          <w:rFonts w:cs="Arial"/>
        </w:rPr>
        <w:t xml:space="preserve"> in handling complaints and undertaking various stakeholder meetings</w:t>
      </w:r>
      <w:r>
        <w:rPr>
          <w:rFonts w:cs="Arial"/>
        </w:rPr>
        <w:t>, as well as incorporati</w:t>
      </w:r>
      <w:r w:rsidR="00E84FBD">
        <w:rPr>
          <w:rFonts w:cs="Arial"/>
        </w:rPr>
        <w:t>ng</w:t>
      </w:r>
      <w:r w:rsidR="00A27188">
        <w:rPr>
          <w:rFonts w:cs="Arial"/>
        </w:rPr>
        <w:t xml:space="preserve"> </w:t>
      </w:r>
      <w:r>
        <w:rPr>
          <w:rFonts w:cs="Arial"/>
        </w:rPr>
        <w:t xml:space="preserve">feedback received on the 2016 report. For consistency, the 2017 report has utilised the same topic areas and numbering system employed in the 2016 report. </w:t>
      </w:r>
    </w:p>
    <w:p w14:paraId="70C36BF1" w14:textId="65055501" w:rsidR="00947ED2" w:rsidRDefault="00947ED2" w:rsidP="00947ED2">
      <w:pPr>
        <w:rPr>
          <w:rFonts w:cs="Arial"/>
        </w:rPr>
      </w:pPr>
      <w:r>
        <w:rPr>
          <w:rFonts w:cs="Arial"/>
        </w:rPr>
        <w:t xml:space="preserve">A number of the Commissioner’s 2016 report recommendations have </w:t>
      </w:r>
      <w:r w:rsidR="00FD6EFA">
        <w:rPr>
          <w:rFonts w:cs="Arial"/>
        </w:rPr>
        <w:t xml:space="preserve">either </w:t>
      </w:r>
      <w:r>
        <w:rPr>
          <w:rFonts w:cs="Arial"/>
        </w:rPr>
        <w:t>been implemented during 2017 or are in the process of being implemented. As always, there may also be other approaches to achieve</w:t>
      </w:r>
      <w:r w:rsidRPr="00B6283A">
        <w:rPr>
          <w:rFonts w:cs="Arial"/>
        </w:rPr>
        <w:t xml:space="preserve"> the same or similar outcomes</w:t>
      </w:r>
      <w:r>
        <w:rPr>
          <w:rFonts w:cs="Arial"/>
        </w:rPr>
        <w:t xml:space="preserve"> that are intended by the recommendations.</w:t>
      </w:r>
    </w:p>
    <w:p w14:paraId="41C3C751" w14:textId="4A93D82D" w:rsidR="00DD09D9" w:rsidRDefault="0022646F" w:rsidP="00947ED2">
      <w:pPr>
        <w:rPr>
          <w:rFonts w:cs="Arial"/>
        </w:rPr>
      </w:pPr>
      <w:r>
        <w:rPr>
          <w:rFonts w:cs="Arial"/>
        </w:rPr>
        <w:t xml:space="preserve">This </w:t>
      </w:r>
      <w:r w:rsidR="00947ED2">
        <w:rPr>
          <w:rFonts w:cs="Arial"/>
        </w:rPr>
        <w:t xml:space="preserve">report </w:t>
      </w:r>
      <w:r w:rsidR="005B0030">
        <w:rPr>
          <w:rFonts w:cs="Arial"/>
        </w:rPr>
        <w:t xml:space="preserve">section </w:t>
      </w:r>
      <w:r w:rsidR="00947ED2">
        <w:rPr>
          <w:rFonts w:cs="Arial"/>
        </w:rPr>
        <w:t xml:space="preserve">also includes an additional subsection, </w:t>
      </w:r>
      <w:r w:rsidR="00A070D8">
        <w:rPr>
          <w:rFonts w:cs="Arial"/>
        </w:rPr>
        <w:t>sub</w:t>
      </w:r>
      <w:r w:rsidR="005B0030">
        <w:rPr>
          <w:rFonts w:cs="Arial"/>
        </w:rPr>
        <w:t xml:space="preserve">section </w:t>
      </w:r>
      <w:r w:rsidR="00947ED2">
        <w:rPr>
          <w:rFonts w:cs="Arial"/>
        </w:rPr>
        <w:t>10</w:t>
      </w:r>
      <w:r w:rsidR="00DD09D9">
        <w:rPr>
          <w:rFonts w:cs="Arial"/>
        </w:rPr>
        <w:t xml:space="preserve">, </w:t>
      </w:r>
      <w:r w:rsidR="00947ED2">
        <w:rPr>
          <w:rFonts w:cs="Arial"/>
        </w:rPr>
        <w:t xml:space="preserve">which summarises </w:t>
      </w:r>
      <w:r w:rsidR="00DD09D9">
        <w:rPr>
          <w:rFonts w:cs="Arial"/>
        </w:rPr>
        <w:t xml:space="preserve">a number of </w:t>
      </w:r>
      <w:r w:rsidR="005B0030">
        <w:rPr>
          <w:rFonts w:cs="Arial"/>
        </w:rPr>
        <w:t xml:space="preserve">broader </w:t>
      </w:r>
      <w:r w:rsidR="00947ED2">
        <w:rPr>
          <w:rFonts w:cs="Arial"/>
        </w:rPr>
        <w:t xml:space="preserve">reforms </w:t>
      </w:r>
      <w:r w:rsidR="00947ED2" w:rsidRPr="00EA1FD9">
        <w:rPr>
          <w:rFonts w:cs="Arial"/>
        </w:rPr>
        <w:t>that the Commissioner</w:t>
      </w:r>
      <w:r w:rsidRPr="00EA1FD9">
        <w:rPr>
          <w:rFonts w:cs="Arial"/>
        </w:rPr>
        <w:t xml:space="preserve"> is</w:t>
      </w:r>
      <w:r w:rsidR="005B0030">
        <w:rPr>
          <w:rFonts w:cs="Arial"/>
        </w:rPr>
        <w:t xml:space="preserve"> progressing.</w:t>
      </w:r>
    </w:p>
    <w:p w14:paraId="6B6CA1E5" w14:textId="70CE6D58" w:rsidR="00947ED2" w:rsidRDefault="00947ED2" w:rsidP="00947ED2">
      <w:pPr>
        <w:rPr>
          <w:rFonts w:cs="Arial"/>
        </w:rPr>
      </w:pPr>
      <w:r>
        <w:rPr>
          <w:rFonts w:cs="Arial"/>
        </w:rPr>
        <w:t>The recommendations below are for consideration by the relevant stakeholders. There are no formal powers to mandate</w:t>
      </w:r>
      <w:r w:rsidR="00D15306">
        <w:rPr>
          <w:rFonts w:cs="Arial"/>
        </w:rPr>
        <w:t xml:space="preserve"> the</w:t>
      </w:r>
      <w:r>
        <w:rPr>
          <w:rFonts w:cs="Arial"/>
        </w:rPr>
        <w:t xml:space="preserve"> implementation</w:t>
      </w:r>
      <w:r w:rsidR="00D15306">
        <w:rPr>
          <w:rFonts w:cs="Arial"/>
        </w:rPr>
        <w:t xml:space="preserve"> of these recommendations</w:t>
      </w:r>
      <w:r>
        <w:rPr>
          <w:rFonts w:cs="Arial"/>
        </w:rPr>
        <w:t xml:space="preserve">. That said, the Commissioner looks forward to </w:t>
      </w:r>
      <w:r w:rsidR="00D15306">
        <w:rPr>
          <w:rFonts w:cs="Arial"/>
        </w:rPr>
        <w:t xml:space="preserve">the </w:t>
      </w:r>
      <w:r>
        <w:rPr>
          <w:rFonts w:cs="Arial"/>
        </w:rPr>
        <w:t>ongoing adoption of the recommendations tabled in a manner that will enable continuous improvement</w:t>
      </w:r>
      <w:r w:rsidR="00D15306">
        <w:rPr>
          <w:rFonts w:cs="Arial"/>
        </w:rPr>
        <w:t xml:space="preserve"> within the industry</w:t>
      </w:r>
      <w:r>
        <w:rPr>
          <w:rFonts w:cs="Arial"/>
        </w:rPr>
        <w:t>.</w:t>
      </w:r>
    </w:p>
    <w:p w14:paraId="418BB8BD" w14:textId="77777777" w:rsidR="00947ED2" w:rsidRPr="00F47E6D" w:rsidRDefault="00947ED2" w:rsidP="00947ED2">
      <w:pPr>
        <w:rPr>
          <w:rFonts w:cs="Arial"/>
        </w:rPr>
      </w:pPr>
      <w:r>
        <w:rPr>
          <w:rFonts w:cs="Arial"/>
        </w:rPr>
        <w:t>Finally, as noted in the 2016 report, the large-</w:t>
      </w:r>
      <w:r w:rsidRPr="00F47E6D">
        <w:rPr>
          <w:rFonts w:cs="Arial"/>
        </w:rPr>
        <w:t xml:space="preserve">scale wind energy industry is still relatively new in Australia, with the first major wind </w:t>
      </w:r>
      <w:r w:rsidR="008C43B9">
        <w:rPr>
          <w:rFonts w:cs="Arial"/>
        </w:rPr>
        <w:t xml:space="preserve">farm </w:t>
      </w:r>
      <w:r w:rsidRPr="00F47E6D">
        <w:rPr>
          <w:rFonts w:cs="Arial"/>
        </w:rPr>
        <w:t xml:space="preserve">developments commencing in just the last decade. Therefore, it is not surprising that a diverse number of opportunities </w:t>
      </w:r>
      <w:r>
        <w:rPr>
          <w:rFonts w:cs="Arial"/>
        </w:rPr>
        <w:t xml:space="preserve">still </w:t>
      </w:r>
      <w:r w:rsidRPr="00F47E6D">
        <w:rPr>
          <w:rFonts w:cs="Arial"/>
        </w:rPr>
        <w:t>exist for improvement</w:t>
      </w:r>
      <w:r>
        <w:rPr>
          <w:rFonts w:cs="Arial"/>
        </w:rPr>
        <w:t xml:space="preserve"> in the governance and operation of the industry</w:t>
      </w:r>
      <w:r w:rsidRPr="00F47E6D">
        <w:rPr>
          <w:rFonts w:cs="Arial"/>
        </w:rPr>
        <w:t>.</w:t>
      </w:r>
    </w:p>
    <w:p w14:paraId="283B0FE4" w14:textId="77777777" w:rsidR="00947ED2" w:rsidRPr="00F47E6D" w:rsidRDefault="00947ED2" w:rsidP="00D35B01">
      <w:pPr>
        <w:pStyle w:val="ListNumber"/>
        <w:numPr>
          <w:ilvl w:val="0"/>
          <w:numId w:val="8"/>
        </w:numPr>
        <w:rPr>
          <w:rFonts w:cs="Arial"/>
          <w:b/>
        </w:rPr>
      </w:pPr>
      <w:r>
        <w:rPr>
          <w:rFonts w:cs="Arial"/>
          <w:b/>
        </w:rPr>
        <w:t>Host Landowner N</w:t>
      </w:r>
      <w:r w:rsidRPr="00F47E6D">
        <w:rPr>
          <w:rFonts w:cs="Arial"/>
          <w:b/>
        </w:rPr>
        <w:t>egotiations</w:t>
      </w:r>
    </w:p>
    <w:p w14:paraId="7CDD6083" w14:textId="77777777" w:rsidR="00947ED2" w:rsidRPr="00F47E6D" w:rsidRDefault="00947ED2" w:rsidP="00D35B01">
      <w:pPr>
        <w:pStyle w:val="ListNumber"/>
        <w:numPr>
          <w:ilvl w:val="1"/>
          <w:numId w:val="8"/>
        </w:numPr>
        <w:rPr>
          <w:rFonts w:cs="Arial"/>
        </w:rPr>
      </w:pPr>
      <w:r w:rsidRPr="00F47E6D">
        <w:rPr>
          <w:rFonts w:cs="Arial"/>
          <w:b/>
        </w:rPr>
        <w:t>Observations</w:t>
      </w:r>
    </w:p>
    <w:p w14:paraId="53CC74C1" w14:textId="2F9F65B5" w:rsidR="00947ED2" w:rsidRPr="00F47E6D" w:rsidRDefault="00947ED2" w:rsidP="00947ED2">
      <w:pPr>
        <w:pStyle w:val="ListNumber"/>
        <w:numPr>
          <w:ilvl w:val="0"/>
          <w:numId w:val="0"/>
        </w:numPr>
        <w:ind w:left="360"/>
        <w:rPr>
          <w:rFonts w:cs="Arial"/>
        </w:rPr>
      </w:pPr>
      <w:r w:rsidRPr="00F47E6D">
        <w:rPr>
          <w:rFonts w:cs="Arial"/>
        </w:rPr>
        <w:t>Wind turbines are typically located on cleared land owned by a landowner, known as the ‘host’ landowner. The land</w:t>
      </w:r>
      <w:r>
        <w:rPr>
          <w:rFonts w:cs="Arial"/>
        </w:rPr>
        <w:t>’s existing use is typically f</w:t>
      </w:r>
      <w:r w:rsidRPr="00F47E6D">
        <w:rPr>
          <w:rFonts w:cs="Arial"/>
        </w:rPr>
        <w:t>or agricultural production (for example, livestock or cropping) and</w:t>
      </w:r>
      <w:r>
        <w:rPr>
          <w:rFonts w:cs="Arial"/>
        </w:rPr>
        <w:t>, in general,</w:t>
      </w:r>
      <w:r w:rsidRPr="00F47E6D">
        <w:rPr>
          <w:rFonts w:cs="Arial"/>
        </w:rPr>
        <w:t xml:space="preserve"> a relatively small portion of the land is utilised for the wind farm</w:t>
      </w:r>
      <w:r w:rsidR="00101AED">
        <w:rPr>
          <w:rFonts w:cs="Arial"/>
        </w:rPr>
        <w:t>,</w:t>
      </w:r>
      <w:r w:rsidRPr="00F47E6D">
        <w:rPr>
          <w:rFonts w:cs="Arial"/>
        </w:rPr>
        <w:t xml:space="preserve"> including turbine siting, access roads and other related assets such as </w:t>
      </w:r>
      <w:r>
        <w:rPr>
          <w:rFonts w:cs="Arial"/>
        </w:rPr>
        <w:t xml:space="preserve">transmission line easements, electrical substations, </w:t>
      </w:r>
      <w:r w:rsidRPr="00F47E6D">
        <w:rPr>
          <w:rFonts w:cs="Arial"/>
        </w:rPr>
        <w:t xml:space="preserve">transformers and meteorological masts. The landowner continues to operate the agricultural production activities on the remaining land, noting that there will be </w:t>
      </w:r>
      <w:r>
        <w:rPr>
          <w:rFonts w:cs="Arial"/>
        </w:rPr>
        <w:t xml:space="preserve">significant </w:t>
      </w:r>
      <w:r w:rsidRPr="00F47E6D">
        <w:rPr>
          <w:rFonts w:cs="Arial"/>
        </w:rPr>
        <w:t>disruption during the turbine construction phase and ongoing access to the wind farm assets will be required by the operator.</w:t>
      </w:r>
    </w:p>
    <w:p w14:paraId="65A7F0FE" w14:textId="43FEECD2" w:rsidR="00947ED2" w:rsidRPr="00F47E6D" w:rsidRDefault="00947ED2" w:rsidP="00947ED2">
      <w:pPr>
        <w:ind w:left="360"/>
        <w:rPr>
          <w:rFonts w:cs="Arial"/>
        </w:rPr>
      </w:pPr>
      <w:r w:rsidRPr="00F47E6D">
        <w:rPr>
          <w:rFonts w:cs="Arial"/>
        </w:rPr>
        <w:t xml:space="preserve">Host landowners are generally compensated on a fixed amount per turbine per year under a long-term agreement that mirrors the life of the wind farm. </w:t>
      </w:r>
      <w:r>
        <w:rPr>
          <w:rFonts w:cs="Arial"/>
        </w:rPr>
        <w:t xml:space="preserve">The fee may be a flat fee per turbine, regardless of size or capacity, or a fee based on the generating capacity of the turbine. The latter arrangement reflects the </w:t>
      </w:r>
      <w:r w:rsidR="00101AED">
        <w:rPr>
          <w:rFonts w:cs="Arial"/>
        </w:rPr>
        <w:t xml:space="preserve">reality </w:t>
      </w:r>
      <w:r>
        <w:rPr>
          <w:rFonts w:cs="Arial"/>
        </w:rPr>
        <w:t xml:space="preserve">that modern day turbines have much greater capacity (in the order of 3-4MW) </w:t>
      </w:r>
      <w:r w:rsidR="00101AED">
        <w:rPr>
          <w:rFonts w:cs="Arial"/>
        </w:rPr>
        <w:t xml:space="preserve">compared with turbines available previously </w:t>
      </w:r>
      <w:r>
        <w:rPr>
          <w:rFonts w:cs="Arial"/>
        </w:rPr>
        <w:t>and</w:t>
      </w:r>
      <w:r w:rsidR="00101AED">
        <w:rPr>
          <w:rFonts w:cs="Arial"/>
        </w:rPr>
        <w:t xml:space="preserve">, therefore, </w:t>
      </w:r>
      <w:r>
        <w:rPr>
          <w:rFonts w:cs="Arial"/>
        </w:rPr>
        <w:t>can result in less turbines being hosted by the landowner than originally envisaged with smaller capacity turbines.</w:t>
      </w:r>
    </w:p>
    <w:p w14:paraId="76D53B27" w14:textId="649A1DC2" w:rsidR="00947ED2" w:rsidRPr="00F47E6D" w:rsidRDefault="00947ED2" w:rsidP="00947ED2">
      <w:pPr>
        <w:ind w:left="360"/>
        <w:rPr>
          <w:rFonts w:cs="Arial"/>
        </w:rPr>
      </w:pPr>
      <w:r w:rsidRPr="00F47E6D">
        <w:rPr>
          <w:rFonts w:cs="Arial"/>
        </w:rPr>
        <w:lastRenderedPageBreak/>
        <w:t>Potential host landowners are approached very early in the development phase of a wind farm project to obtain their agreement to host turbines in the event that the project goes ahead. Landowners will typically enter into an initial agreement that document</w:t>
      </w:r>
      <w:r w:rsidR="00116524">
        <w:rPr>
          <w:rFonts w:cs="Arial"/>
        </w:rPr>
        <w:t>s</w:t>
      </w:r>
      <w:r w:rsidRPr="00F47E6D">
        <w:rPr>
          <w:rFonts w:cs="Arial"/>
        </w:rPr>
        <w:t xml:space="preserve"> their willingness to host turbines and the commercial arrangements that would occur in the event that the development </w:t>
      </w:r>
      <w:r w:rsidR="00116524">
        <w:rPr>
          <w:rFonts w:cs="Arial"/>
        </w:rPr>
        <w:t>proceeds.</w:t>
      </w:r>
      <w:r>
        <w:rPr>
          <w:rFonts w:cs="Arial"/>
        </w:rPr>
        <w:t xml:space="preserve"> Generally, these initial agreements provide the developer with exclusive rights over the landowner’s property for a period of time.</w:t>
      </w:r>
    </w:p>
    <w:p w14:paraId="6D4B432C" w14:textId="01D20C1C" w:rsidR="00947ED2" w:rsidRDefault="00947ED2" w:rsidP="00947ED2">
      <w:pPr>
        <w:ind w:left="360"/>
        <w:rPr>
          <w:rFonts w:cs="Arial"/>
        </w:rPr>
      </w:pPr>
      <w:r w:rsidRPr="00F47E6D">
        <w:rPr>
          <w:rFonts w:cs="Arial"/>
        </w:rPr>
        <w:t xml:space="preserve">It is not uncommon for a developer to propose more turbines than will be </w:t>
      </w:r>
      <w:r>
        <w:rPr>
          <w:rFonts w:cs="Arial"/>
        </w:rPr>
        <w:t xml:space="preserve">finally </w:t>
      </w:r>
      <w:r w:rsidRPr="00F47E6D">
        <w:rPr>
          <w:rFonts w:cs="Arial"/>
        </w:rPr>
        <w:t>approved or installed</w:t>
      </w:r>
      <w:r>
        <w:rPr>
          <w:rFonts w:cs="Arial"/>
        </w:rPr>
        <w:t xml:space="preserve">.  As a result, the developer </w:t>
      </w:r>
      <w:r w:rsidRPr="00F47E6D">
        <w:rPr>
          <w:rFonts w:cs="Arial"/>
        </w:rPr>
        <w:t>often seek</w:t>
      </w:r>
      <w:r>
        <w:rPr>
          <w:rFonts w:cs="Arial"/>
        </w:rPr>
        <w:t xml:space="preserve">s and enters into </w:t>
      </w:r>
      <w:r w:rsidRPr="00F47E6D">
        <w:rPr>
          <w:rFonts w:cs="Arial"/>
        </w:rPr>
        <w:t>preliminary agreements with landowners who may ultimately ‘miss out’ on hosting turbines or be asked to host a reduced number of turbines. Further, even once the final number of turbines is confirmed, the planned locations of turbines may be adjusted which can also result in landowners hosting less turbines than expected.</w:t>
      </w:r>
    </w:p>
    <w:p w14:paraId="7B5CE07F" w14:textId="478688BE" w:rsidR="00947ED2" w:rsidRDefault="00947ED2" w:rsidP="00947ED2">
      <w:pPr>
        <w:ind w:left="360"/>
        <w:rPr>
          <w:rFonts w:cs="Arial"/>
        </w:rPr>
      </w:pPr>
      <w:r>
        <w:rPr>
          <w:rFonts w:cs="Arial"/>
        </w:rPr>
        <w:t xml:space="preserve">There are many reasons why a proposed wind farm may reduce the number of turbines during the development phase. These may include increase in turbine capacity, transmission constraints, environmental </w:t>
      </w:r>
      <w:r w:rsidR="00862BD1">
        <w:rPr>
          <w:rFonts w:cs="Arial"/>
        </w:rPr>
        <w:t xml:space="preserve">and </w:t>
      </w:r>
      <w:r>
        <w:rPr>
          <w:rFonts w:cs="Arial"/>
        </w:rPr>
        <w:t>planning considerations and requirements, financial constraints along with changes to policy, legislation or planning guidelines.</w:t>
      </w:r>
    </w:p>
    <w:p w14:paraId="351D6F88" w14:textId="08FD26EB" w:rsidR="00947ED2" w:rsidRPr="00F47E6D" w:rsidRDefault="00947ED2" w:rsidP="00947ED2">
      <w:pPr>
        <w:ind w:left="360"/>
        <w:rPr>
          <w:rFonts w:cs="Arial"/>
        </w:rPr>
      </w:pPr>
      <w:r w:rsidRPr="00F47E6D">
        <w:rPr>
          <w:rFonts w:cs="Arial"/>
        </w:rPr>
        <w:t xml:space="preserve">These </w:t>
      </w:r>
      <w:r>
        <w:rPr>
          <w:rFonts w:cs="Arial"/>
        </w:rPr>
        <w:t xml:space="preserve">various </w:t>
      </w:r>
      <w:r w:rsidRPr="00F47E6D">
        <w:rPr>
          <w:rFonts w:cs="Arial"/>
        </w:rPr>
        <w:t>scenarios, observed in the Australian industry to date, can create a ‘winners and losers’ situation</w:t>
      </w:r>
      <w:r w:rsidR="00116524">
        <w:rPr>
          <w:rFonts w:cs="Arial"/>
        </w:rPr>
        <w:t xml:space="preserve"> for</w:t>
      </w:r>
      <w:r w:rsidRPr="00F47E6D">
        <w:rPr>
          <w:rFonts w:cs="Arial"/>
        </w:rPr>
        <w:t xml:space="preserve"> landowners that may have had expectations of hosting wind turbines. For instance, a</w:t>
      </w:r>
      <w:r>
        <w:rPr>
          <w:rFonts w:cs="Arial"/>
        </w:rPr>
        <w:t xml:space="preserve"> landowner expecting to host 10</w:t>
      </w:r>
      <w:r w:rsidRPr="00F47E6D">
        <w:rPr>
          <w:rFonts w:cs="Arial"/>
        </w:rPr>
        <w:t xml:space="preserve"> turbines (and expecting to receive the compensation associated with such hosting) may become aggrieved if the final approved wind farm has significantly reduced or eliminated the number of turbines to be hosted, thereby significantly reducing or eliminating the potential income stream to that landowner.</w:t>
      </w:r>
    </w:p>
    <w:p w14:paraId="454C96F0" w14:textId="25C99F5C" w:rsidR="00947ED2" w:rsidRPr="00781A26" w:rsidRDefault="00947ED2" w:rsidP="00947ED2">
      <w:pPr>
        <w:ind w:left="360"/>
        <w:rPr>
          <w:rFonts w:cs="Arial"/>
        </w:rPr>
      </w:pPr>
      <w:r w:rsidRPr="00781A26">
        <w:rPr>
          <w:rFonts w:cs="Arial"/>
        </w:rPr>
        <w:t>The landowner not only may miss out on a significant income stream, but may also experience many of the potential impacts of turbines located on neighbouring properties, including changes in amenity, audible noise</w:t>
      </w:r>
      <w:r w:rsidR="00295544">
        <w:rPr>
          <w:rFonts w:cs="Arial"/>
        </w:rPr>
        <w:t>, construction disruption</w:t>
      </w:r>
      <w:r w:rsidRPr="00781A26">
        <w:rPr>
          <w:rFonts w:cs="Arial"/>
        </w:rPr>
        <w:t xml:space="preserve"> and other effects of the wind farm. The fact that the landowner’s neighbours were still successful in hosting turbines and receiving compensation can further aggravate the situation for the landowner</w:t>
      </w:r>
      <w:r w:rsidR="00862BD1">
        <w:rPr>
          <w:rFonts w:cs="Arial"/>
        </w:rPr>
        <w:t xml:space="preserve"> that missed out</w:t>
      </w:r>
      <w:r w:rsidRPr="00781A26">
        <w:rPr>
          <w:rFonts w:cs="Arial"/>
        </w:rPr>
        <w:t>.</w:t>
      </w:r>
    </w:p>
    <w:p w14:paraId="2647498F" w14:textId="77777777" w:rsidR="00947ED2" w:rsidRPr="00F47E6D" w:rsidRDefault="00947ED2" w:rsidP="00947ED2">
      <w:pPr>
        <w:ind w:left="360"/>
        <w:rPr>
          <w:rFonts w:cs="Arial"/>
        </w:rPr>
      </w:pPr>
      <w:r w:rsidRPr="00781A26">
        <w:rPr>
          <w:rFonts w:cs="Arial"/>
        </w:rPr>
        <w:t>This situation can also be exacerbated by developers conducting confidential, individual discussions and negotiations with specific landowners, creating a level of distrust amongst neighbouring landowners and the developer from the outset.</w:t>
      </w:r>
      <w:r w:rsidRPr="00F47E6D">
        <w:rPr>
          <w:rFonts w:cs="Arial"/>
        </w:rPr>
        <w:t xml:space="preserve"> </w:t>
      </w:r>
    </w:p>
    <w:p w14:paraId="17DDBAA9" w14:textId="77777777" w:rsidR="00947ED2" w:rsidRDefault="00947ED2" w:rsidP="00947ED2">
      <w:pPr>
        <w:ind w:left="360"/>
        <w:rPr>
          <w:rFonts w:cs="Arial"/>
        </w:rPr>
      </w:pPr>
      <w:r w:rsidRPr="00F47E6D">
        <w:rPr>
          <w:rFonts w:cs="Arial"/>
        </w:rPr>
        <w:t>The consequences of these scenarios can be severe, both in terms of fracturing support for the wind farm within the community as well as dividing the community in economic and social terms. Developers need to be mindful of the consequences arising from their conduct in landowner negotiations and the magnitude of impact on landowners with regard to changes in the number of turbines and turbine layouts.</w:t>
      </w:r>
    </w:p>
    <w:p w14:paraId="74C0AEC8" w14:textId="473931F5" w:rsidR="009666A1" w:rsidRPr="00127DA6" w:rsidRDefault="009666A1" w:rsidP="00947ED2">
      <w:pPr>
        <w:ind w:left="360"/>
        <w:rPr>
          <w:rFonts w:cs="Arial"/>
        </w:rPr>
      </w:pPr>
      <w:r w:rsidRPr="00127DA6">
        <w:rPr>
          <w:rFonts w:cs="Arial"/>
        </w:rPr>
        <w:t xml:space="preserve">There is also </w:t>
      </w:r>
      <w:r w:rsidR="008821AA" w:rsidRPr="00127DA6">
        <w:rPr>
          <w:rFonts w:cs="Arial"/>
        </w:rPr>
        <w:t>a high</w:t>
      </w:r>
      <w:r w:rsidRPr="00127DA6">
        <w:rPr>
          <w:rFonts w:cs="Arial"/>
        </w:rPr>
        <w:t xml:space="preserve"> risk that wind farm prospectors, who may </w:t>
      </w:r>
      <w:r w:rsidR="000E16D4" w:rsidRPr="00127DA6">
        <w:rPr>
          <w:rFonts w:cs="Arial"/>
        </w:rPr>
        <w:t xml:space="preserve">not </w:t>
      </w:r>
      <w:r w:rsidR="00127DA6">
        <w:rPr>
          <w:rFonts w:cs="Arial"/>
        </w:rPr>
        <w:t xml:space="preserve">have fully </w:t>
      </w:r>
      <w:r w:rsidR="000E16D4" w:rsidRPr="00127DA6">
        <w:rPr>
          <w:rFonts w:cs="Arial"/>
        </w:rPr>
        <w:t>consider</w:t>
      </w:r>
      <w:r w:rsidR="00127DA6">
        <w:rPr>
          <w:rFonts w:cs="Arial"/>
        </w:rPr>
        <w:t>ed</w:t>
      </w:r>
      <w:r w:rsidR="000E16D4" w:rsidRPr="00127DA6">
        <w:rPr>
          <w:rFonts w:cs="Arial"/>
        </w:rPr>
        <w:t xml:space="preserve"> such</w:t>
      </w:r>
      <w:r w:rsidR="003074BE" w:rsidRPr="00127DA6">
        <w:rPr>
          <w:rFonts w:cs="Arial"/>
        </w:rPr>
        <w:t xml:space="preserve"> scenarios </w:t>
      </w:r>
      <w:r w:rsidR="00127DA6">
        <w:rPr>
          <w:rFonts w:cs="Arial"/>
        </w:rPr>
        <w:t>and/</w:t>
      </w:r>
      <w:r w:rsidR="003074BE" w:rsidRPr="00127DA6">
        <w:rPr>
          <w:rFonts w:cs="Arial"/>
        </w:rPr>
        <w:t>or may not be invested in the long-term benefits of community engagement</w:t>
      </w:r>
      <w:r w:rsidRPr="00127DA6">
        <w:rPr>
          <w:rFonts w:cs="Arial"/>
        </w:rPr>
        <w:t xml:space="preserve">, </w:t>
      </w:r>
      <w:r w:rsidR="003074BE" w:rsidRPr="00127DA6">
        <w:rPr>
          <w:rFonts w:cs="Arial"/>
        </w:rPr>
        <w:t xml:space="preserve">could </w:t>
      </w:r>
      <w:r w:rsidRPr="00127DA6">
        <w:rPr>
          <w:rFonts w:cs="Arial"/>
        </w:rPr>
        <w:t>undertake activities that result in long-term resentment with</w:t>
      </w:r>
      <w:r w:rsidR="008821AA" w:rsidRPr="00127DA6">
        <w:rPr>
          <w:rFonts w:cs="Arial"/>
        </w:rPr>
        <w:t>in local and wider communities</w:t>
      </w:r>
      <w:r w:rsidR="003074BE" w:rsidRPr="00127DA6">
        <w:rPr>
          <w:rFonts w:cs="Arial"/>
        </w:rPr>
        <w:t xml:space="preserve"> where these projects are proposed. While th</w:t>
      </w:r>
      <w:r w:rsidR="00127DA6">
        <w:rPr>
          <w:rFonts w:cs="Arial"/>
        </w:rPr>
        <w:t>ese actions may</w:t>
      </w:r>
      <w:r w:rsidR="003074BE" w:rsidRPr="00127DA6">
        <w:rPr>
          <w:rFonts w:cs="Arial"/>
        </w:rPr>
        <w:t xml:space="preserve"> lead to</w:t>
      </w:r>
      <w:r w:rsidRPr="00127DA6">
        <w:rPr>
          <w:rFonts w:cs="Arial"/>
        </w:rPr>
        <w:t xml:space="preserve"> difficult</w:t>
      </w:r>
      <w:r w:rsidR="003074BE" w:rsidRPr="00127DA6">
        <w:rPr>
          <w:rFonts w:cs="Arial"/>
        </w:rPr>
        <w:t>ies</w:t>
      </w:r>
      <w:r w:rsidRPr="00127DA6">
        <w:rPr>
          <w:rFonts w:cs="Arial"/>
        </w:rPr>
        <w:t xml:space="preserve"> </w:t>
      </w:r>
      <w:r w:rsidR="003074BE" w:rsidRPr="00127DA6">
        <w:rPr>
          <w:rFonts w:cs="Arial"/>
        </w:rPr>
        <w:t xml:space="preserve">in relation to the success of the </w:t>
      </w:r>
      <w:r w:rsidR="00127DA6">
        <w:rPr>
          <w:rFonts w:cs="Arial"/>
        </w:rPr>
        <w:t xml:space="preserve">specific </w:t>
      </w:r>
      <w:r w:rsidR="003074BE" w:rsidRPr="00127DA6">
        <w:rPr>
          <w:rFonts w:cs="Arial"/>
        </w:rPr>
        <w:t>project</w:t>
      </w:r>
      <w:r w:rsidRPr="00127DA6">
        <w:rPr>
          <w:rFonts w:cs="Arial"/>
        </w:rPr>
        <w:t xml:space="preserve">, </w:t>
      </w:r>
      <w:r w:rsidR="00127DA6">
        <w:rPr>
          <w:rFonts w:cs="Arial"/>
        </w:rPr>
        <w:t xml:space="preserve">they </w:t>
      </w:r>
      <w:r w:rsidR="003074BE" w:rsidRPr="00127DA6">
        <w:rPr>
          <w:rFonts w:cs="Arial"/>
        </w:rPr>
        <w:t>also ha</w:t>
      </w:r>
      <w:r w:rsidR="00127DA6">
        <w:rPr>
          <w:rFonts w:cs="Arial"/>
        </w:rPr>
        <w:t>ve</w:t>
      </w:r>
      <w:r w:rsidR="008821AA" w:rsidRPr="00127DA6">
        <w:rPr>
          <w:rFonts w:cs="Arial"/>
        </w:rPr>
        <w:t xml:space="preserve"> the </w:t>
      </w:r>
      <w:r w:rsidR="003074BE" w:rsidRPr="00127DA6">
        <w:rPr>
          <w:rFonts w:cs="Arial"/>
        </w:rPr>
        <w:t>potential</w:t>
      </w:r>
      <w:r w:rsidR="008821AA" w:rsidRPr="00127DA6">
        <w:rPr>
          <w:rFonts w:cs="Arial"/>
        </w:rPr>
        <w:t xml:space="preserve"> impact of creating</w:t>
      </w:r>
      <w:r w:rsidRPr="00127DA6">
        <w:rPr>
          <w:rFonts w:cs="Arial"/>
        </w:rPr>
        <w:t xml:space="preserve"> difficulties for other wind farm developers who may be undertaking development </w:t>
      </w:r>
      <w:r w:rsidR="00127DA6">
        <w:rPr>
          <w:rFonts w:cs="Arial"/>
        </w:rPr>
        <w:t xml:space="preserve">of neighbouring </w:t>
      </w:r>
      <w:r w:rsidR="00C4692E">
        <w:rPr>
          <w:rFonts w:cs="Arial"/>
        </w:rPr>
        <w:t xml:space="preserve">projects </w:t>
      </w:r>
      <w:r w:rsidRPr="00127DA6">
        <w:rPr>
          <w:rFonts w:cs="Arial"/>
        </w:rPr>
        <w:t>in the region. Ultimately, these scenarios have</w:t>
      </w:r>
      <w:r w:rsidR="00127DA6" w:rsidRPr="00127DA6">
        <w:rPr>
          <w:rFonts w:cs="Arial"/>
        </w:rPr>
        <w:t xml:space="preserve"> </w:t>
      </w:r>
      <w:r w:rsidR="00C4692E">
        <w:rPr>
          <w:rFonts w:cs="Arial"/>
        </w:rPr>
        <w:t>brought</w:t>
      </w:r>
      <w:r w:rsidR="00127DA6" w:rsidRPr="00127DA6">
        <w:rPr>
          <w:rFonts w:cs="Arial"/>
        </w:rPr>
        <w:t xml:space="preserve"> and still have</w:t>
      </w:r>
      <w:r w:rsidRPr="00127DA6">
        <w:rPr>
          <w:rFonts w:cs="Arial"/>
        </w:rPr>
        <w:t xml:space="preserve"> the potential to bring the wind farm industry into disrepute.</w:t>
      </w:r>
    </w:p>
    <w:p w14:paraId="13C92B2A" w14:textId="717F301D" w:rsidR="00781A26" w:rsidRPr="00127DA6" w:rsidRDefault="00781A26" w:rsidP="00781A26">
      <w:pPr>
        <w:pStyle w:val="ListNumber"/>
        <w:numPr>
          <w:ilvl w:val="0"/>
          <w:numId w:val="0"/>
        </w:numPr>
        <w:ind w:left="360"/>
        <w:rPr>
          <w:rFonts w:cs="Arial"/>
        </w:rPr>
      </w:pPr>
      <w:r w:rsidRPr="00127DA6">
        <w:rPr>
          <w:rFonts w:cs="Arial"/>
        </w:rPr>
        <w:t xml:space="preserve">In cases where landowners have ‘missed out’ on turbines after a lengthy period of time of being involved with the project, the Commissioner has observed some </w:t>
      </w:r>
      <w:r w:rsidRPr="00127DA6">
        <w:t>suc</w:t>
      </w:r>
      <w:r w:rsidR="003074BE" w:rsidRPr="00127DA6">
        <w:t xml:space="preserve">cessful methods of </w:t>
      </w:r>
      <w:r w:rsidR="00C4692E">
        <w:t>working with such landowners</w:t>
      </w:r>
      <w:r w:rsidRPr="00127DA6">
        <w:t xml:space="preserve">, including </w:t>
      </w:r>
      <w:r w:rsidR="00C4692E">
        <w:t xml:space="preserve">a level of </w:t>
      </w:r>
      <w:r w:rsidRPr="00127DA6">
        <w:t xml:space="preserve">compensation that </w:t>
      </w:r>
      <w:r w:rsidR="00C4692E">
        <w:t xml:space="preserve">may be based on a range of parameters, such as taking into account the number </w:t>
      </w:r>
      <w:r w:rsidRPr="00127DA6">
        <w:t xml:space="preserve">of turbines that the landowner </w:t>
      </w:r>
      <w:r w:rsidR="00722B98" w:rsidRPr="00127DA6">
        <w:t>had been</w:t>
      </w:r>
      <w:r w:rsidRPr="00127DA6">
        <w:t xml:space="preserve"> expecting to host.</w:t>
      </w:r>
    </w:p>
    <w:p w14:paraId="304E925A" w14:textId="3765AFDD" w:rsidR="00947ED2" w:rsidRDefault="00947ED2" w:rsidP="00947ED2">
      <w:pPr>
        <w:ind w:left="360"/>
        <w:rPr>
          <w:rFonts w:cs="Arial"/>
        </w:rPr>
      </w:pPr>
      <w:r>
        <w:rPr>
          <w:rFonts w:cs="Arial"/>
        </w:rPr>
        <w:lastRenderedPageBreak/>
        <w:t xml:space="preserve">A </w:t>
      </w:r>
      <w:r w:rsidR="00C4692E">
        <w:rPr>
          <w:rFonts w:cs="Arial"/>
        </w:rPr>
        <w:t xml:space="preserve">host </w:t>
      </w:r>
      <w:r>
        <w:rPr>
          <w:rFonts w:cs="Arial"/>
        </w:rPr>
        <w:t>landowner agreement is essentially a commercial lease. Significant time and money is spent by developers in creating draft landowner agreements, which in turn need to be reviewed by the landowner and their solicitor before executing. Both industry and landowners may benefit from a standard agreement document being produced and available for use that is fair and reasonable, complete and consistent with the relevant laws – similar to in concept, as an example, the Victorian Law Institute Commercial Lease.</w:t>
      </w:r>
    </w:p>
    <w:p w14:paraId="51515FEF" w14:textId="2318252A" w:rsidR="00947ED2" w:rsidRDefault="00947ED2" w:rsidP="00947ED2">
      <w:pPr>
        <w:ind w:left="360"/>
        <w:rPr>
          <w:rFonts w:cs="Arial"/>
        </w:rPr>
      </w:pPr>
      <w:r>
        <w:rPr>
          <w:rFonts w:cs="Arial"/>
        </w:rPr>
        <w:t xml:space="preserve">Some landowner agreements observed </w:t>
      </w:r>
      <w:r w:rsidR="00126705">
        <w:rPr>
          <w:rFonts w:cs="Arial"/>
        </w:rPr>
        <w:t xml:space="preserve">could be </w:t>
      </w:r>
      <w:r w:rsidR="00D15306">
        <w:rPr>
          <w:rFonts w:cs="Arial"/>
        </w:rPr>
        <w:t>clearer in a number of aspects.</w:t>
      </w:r>
      <w:r w:rsidR="00126705">
        <w:rPr>
          <w:rFonts w:cs="Arial"/>
        </w:rPr>
        <w:t xml:space="preserve"> A</w:t>
      </w:r>
      <w:r>
        <w:rPr>
          <w:rFonts w:cs="Arial"/>
        </w:rPr>
        <w:t xml:space="preserve">greements </w:t>
      </w:r>
      <w:r w:rsidR="00126705">
        <w:rPr>
          <w:rFonts w:cs="Arial"/>
        </w:rPr>
        <w:t xml:space="preserve">should provide </w:t>
      </w:r>
      <w:r>
        <w:rPr>
          <w:rFonts w:cs="Arial"/>
        </w:rPr>
        <w:t>cl</w:t>
      </w:r>
      <w:r w:rsidR="00126705">
        <w:rPr>
          <w:rFonts w:cs="Arial"/>
        </w:rPr>
        <w:t>arity</w:t>
      </w:r>
      <w:r>
        <w:rPr>
          <w:rFonts w:cs="Arial"/>
        </w:rPr>
        <w:t xml:space="preserve"> on a wide range of day to day matters, including which party is responsible for paying rates, land taxes, </w:t>
      </w:r>
      <w:r w:rsidR="00126705">
        <w:rPr>
          <w:rFonts w:cs="Arial"/>
        </w:rPr>
        <w:t xml:space="preserve">emergency services </w:t>
      </w:r>
      <w:r>
        <w:rPr>
          <w:rFonts w:cs="Arial"/>
        </w:rPr>
        <w:t xml:space="preserve">levies and the like. The landowner agreement also needs to be clear on </w:t>
      </w:r>
      <w:r w:rsidR="00126705">
        <w:rPr>
          <w:rFonts w:cs="Arial"/>
        </w:rPr>
        <w:t xml:space="preserve">termination provisions and </w:t>
      </w:r>
      <w:r>
        <w:rPr>
          <w:rFonts w:cs="Arial"/>
        </w:rPr>
        <w:t>the responsibilities regarding decommissioning of the wind farm.</w:t>
      </w:r>
    </w:p>
    <w:p w14:paraId="39DA3A7A" w14:textId="47D01C36" w:rsidR="00947ED2" w:rsidRPr="00F47E6D" w:rsidRDefault="00947ED2" w:rsidP="00947ED2">
      <w:pPr>
        <w:ind w:left="360"/>
        <w:rPr>
          <w:rFonts w:cs="Arial"/>
        </w:rPr>
      </w:pPr>
      <w:r w:rsidRPr="00F47E6D">
        <w:rPr>
          <w:rFonts w:cs="Arial"/>
        </w:rPr>
        <w:t>Landowner agreements are not limited to hosting turbines</w:t>
      </w:r>
      <w:r w:rsidR="002879A1">
        <w:rPr>
          <w:rFonts w:cs="Arial"/>
        </w:rPr>
        <w:t xml:space="preserve"> – </w:t>
      </w:r>
      <w:r w:rsidRPr="00F47E6D">
        <w:rPr>
          <w:rFonts w:cs="Arial"/>
        </w:rPr>
        <w:t>the</w:t>
      </w:r>
      <w:r w:rsidR="002879A1">
        <w:rPr>
          <w:rFonts w:cs="Arial"/>
        </w:rPr>
        <w:t>y</w:t>
      </w:r>
      <w:r w:rsidRPr="00F47E6D">
        <w:rPr>
          <w:rFonts w:cs="Arial"/>
        </w:rPr>
        <w:t xml:space="preserve"> may also be required to allow easements for high voltage transmission corridors</w:t>
      </w:r>
      <w:r>
        <w:rPr>
          <w:rFonts w:cs="Arial"/>
        </w:rPr>
        <w:t>, substations, construction facilities, meteorological masts</w:t>
      </w:r>
      <w:r w:rsidRPr="00F47E6D">
        <w:rPr>
          <w:rFonts w:cs="Arial"/>
        </w:rPr>
        <w:t xml:space="preserve"> as well as construction and operational access roads for the wind farm. Careful consideration of the approach and fairness to negotiating these additional agree</w:t>
      </w:r>
      <w:r>
        <w:rPr>
          <w:rFonts w:cs="Arial"/>
        </w:rPr>
        <w:t>ments should also be required of</w:t>
      </w:r>
      <w:r w:rsidRPr="00F47E6D">
        <w:rPr>
          <w:rFonts w:cs="Arial"/>
        </w:rPr>
        <w:t xml:space="preserve"> the developer.</w:t>
      </w:r>
    </w:p>
    <w:p w14:paraId="04022E52" w14:textId="4BD894E0" w:rsidR="00947ED2" w:rsidRDefault="00947ED2" w:rsidP="00947ED2">
      <w:pPr>
        <w:pStyle w:val="ListNumber"/>
        <w:numPr>
          <w:ilvl w:val="0"/>
          <w:numId w:val="0"/>
        </w:numPr>
        <w:ind w:left="360"/>
        <w:rPr>
          <w:rFonts w:cs="Arial"/>
        </w:rPr>
      </w:pPr>
      <w:r w:rsidRPr="00F47E6D">
        <w:rPr>
          <w:rFonts w:cs="Arial"/>
        </w:rPr>
        <w:t>There may also be innovative opportunities for landowners and other community members to have an ownership stake in the project, which could be in the form of a community</w:t>
      </w:r>
      <w:r>
        <w:rPr>
          <w:rFonts w:cs="Arial"/>
        </w:rPr>
        <w:t>-</w:t>
      </w:r>
      <w:r w:rsidRPr="00F47E6D">
        <w:rPr>
          <w:rFonts w:cs="Arial"/>
        </w:rPr>
        <w:t>owned wind farm through to equity or debt participation in the commercial ownership structure. It is understood that there are some examples of these approaches in Australia as well as in other overseas jurisdictions such as Europe</w:t>
      </w:r>
      <w:r>
        <w:rPr>
          <w:rFonts w:cs="Arial"/>
        </w:rPr>
        <w:t>.</w:t>
      </w:r>
    </w:p>
    <w:p w14:paraId="62B7A4A7" w14:textId="6E9FA5C4" w:rsidR="00947ED2" w:rsidRDefault="00947ED2" w:rsidP="00947ED2">
      <w:pPr>
        <w:pStyle w:val="ListNumber"/>
        <w:numPr>
          <w:ilvl w:val="0"/>
          <w:numId w:val="0"/>
        </w:numPr>
        <w:ind w:left="360"/>
        <w:rPr>
          <w:rFonts w:cs="Arial"/>
        </w:rPr>
      </w:pPr>
      <w:r>
        <w:rPr>
          <w:rFonts w:cs="Arial"/>
        </w:rPr>
        <w:t xml:space="preserve">The construction period can be a time of significant disruption for the landowner, with </w:t>
      </w:r>
      <w:r w:rsidR="00D15306">
        <w:rPr>
          <w:rFonts w:cs="Arial"/>
        </w:rPr>
        <w:t xml:space="preserve">potential </w:t>
      </w:r>
      <w:r>
        <w:rPr>
          <w:rFonts w:cs="Arial"/>
        </w:rPr>
        <w:t>long</w:t>
      </w:r>
      <w:r w:rsidR="002879A1">
        <w:rPr>
          <w:rFonts w:cs="Arial"/>
        </w:rPr>
        <w:t>-</w:t>
      </w:r>
      <w:r>
        <w:rPr>
          <w:rFonts w:cs="Arial"/>
        </w:rPr>
        <w:t xml:space="preserve">term effects. Typical issues can </w:t>
      </w:r>
      <w:r w:rsidR="00D15306">
        <w:rPr>
          <w:rFonts w:cs="Arial"/>
        </w:rPr>
        <w:t>range from</w:t>
      </w:r>
      <w:r>
        <w:rPr>
          <w:rFonts w:cs="Arial"/>
        </w:rPr>
        <w:t xml:space="preserve"> management of gates – gates being left open </w:t>
      </w:r>
      <w:r w:rsidR="002879A1">
        <w:rPr>
          <w:rFonts w:cs="Arial"/>
        </w:rPr>
        <w:t xml:space="preserve">during </w:t>
      </w:r>
      <w:r>
        <w:rPr>
          <w:rFonts w:cs="Arial"/>
        </w:rPr>
        <w:t>construction activities can quickly lead to unplanned migration of livestock, often with significant consequence</w:t>
      </w:r>
      <w:r w:rsidR="0052032C">
        <w:rPr>
          <w:rFonts w:cs="Arial"/>
        </w:rPr>
        <w:t xml:space="preserve">s – through </w:t>
      </w:r>
      <w:r>
        <w:rPr>
          <w:rFonts w:cs="Arial"/>
        </w:rPr>
        <w:t xml:space="preserve">to the impact of new roads being built throughout the landowner’s property. In particular, road construction in hill and ridge terrain may lead to large roadway cuttings and embankments that make it difficult to move livestock around the remaining paddock areas. Best practice gate management is to design the road access and fencing in such a way to minimise or eliminate the need for gates. </w:t>
      </w:r>
    </w:p>
    <w:p w14:paraId="3A348298" w14:textId="6C597072" w:rsidR="00947ED2" w:rsidRDefault="00947ED2" w:rsidP="00947ED2">
      <w:pPr>
        <w:pStyle w:val="ListNumber"/>
        <w:numPr>
          <w:ilvl w:val="0"/>
          <w:numId w:val="0"/>
        </w:numPr>
        <w:ind w:left="360"/>
        <w:rPr>
          <w:rFonts w:cs="Arial"/>
        </w:rPr>
      </w:pPr>
      <w:r>
        <w:rPr>
          <w:rFonts w:cs="Arial"/>
        </w:rPr>
        <w:t xml:space="preserve">Approaches to calculate and levy items such as council rates, land taxes and other levies appears to be ad hoc across various </w:t>
      </w:r>
      <w:r w:rsidR="002879A1">
        <w:rPr>
          <w:rFonts w:cs="Arial"/>
        </w:rPr>
        <w:t>s</w:t>
      </w:r>
      <w:r>
        <w:rPr>
          <w:rFonts w:cs="Arial"/>
        </w:rPr>
        <w:t xml:space="preserve">tate jurisdictions. This may result in a number of consequences, including revenue leakage and surprises in unforeseen levy charges. Some actions are being taken on these matters, such as the recently released NSW Valuer-General policy </w:t>
      </w:r>
      <w:r w:rsidR="002879A1" w:rsidRPr="00925761">
        <w:rPr>
          <w:rFonts w:cs="Arial"/>
          <w:i/>
        </w:rPr>
        <w:t>V</w:t>
      </w:r>
      <w:r w:rsidRPr="00925761">
        <w:rPr>
          <w:rFonts w:cs="Arial"/>
          <w:i/>
        </w:rPr>
        <w:t xml:space="preserve">aluation of </w:t>
      </w:r>
      <w:r w:rsidR="002879A1" w:rsidRPr="00925761">
        <w:rPr>
          <w:rFonts w:cs="Arial"/>
          <w:i/>
        </w:rPr>
        <w:t>L</w:t>
      </w:r>
      <w:r w:rsidRPr="00925761">
        <w:rPr>
          <w:rFonts w:cs="Arial"/>
          <w:i/>
        </w:rPr>
        <w:t xml:space="preserve">and </w:t>
      </w:r>
      <w:r w:rsidR="002879A1" w:rsidRPr="00925761">
        <w:rPr>
          <w:rFonts w:cs="Arial"/>
          <w:i/>
        </w:rPr>
        <w:t>U</w:t>
      </w:r>
      <w:r w:rsidRPr="00925761">
        <w:rPr>
          <w:rFonts w:cs="Arial"/>
          <w:i/>
        </w:rPr>
        <w:t xml:space="preserve">sed as a </w:t>
      </w:r>
      <w:r w:rsidR="002879A1" w:rsidRPr="00925761">
        <w:rPr>
          <w:rFonts w:cs="Arial"/>
          <w:i/>
        </w:rPr>
        <w:t>W</w:t>
      </w:r>
      <w:r w:rsidRPr="00925761">
        <w:rPr>
          <w:rFonts w:cs="Arial"/>
          <w:i/>
        </w:rPr>
        <w:t xml:space="preserve">ind </w:t>
      </w:r>
      <w:r w:rsidR="002879A1" w:rsidRPr="00925761">
        <w:rPr>
          <w:rFonts w:cs="Arial"/>
          <w:i/>
        </w:rPr>
        <w:t>F</w:t>
      </w:r>
      <w:r w:rsidRPr="00925761">
        <w:rPr>
          <w:rFonts w:cs="Arial"/>
          <w:i/>
        </w:rPr>
        <w:t>arm</w:t>
      </w:r>
      <w:r>
        <w:rPr>
          <w:rFonts w:cs="Arial"/>
        </w:rPr>
        <w:t xml:space="preserve"> (</w:t>
      </w:r>
      <w:r w:rsidR="001A0125">
        <w:rPr>
          <w:rFonts w:cs="Arial"/>
        </w:rPr>
        <w:t>NSW Governmen</w:t>
      </w:r>
      <w:r w:rsidR="002879A1">
        <w:rPr>
          <w:rFonts w:cs="Arial"/>
        </w:rPr>
        <w:t xml:space="preserve">t, </w:t>
      </w:r>
      <w:r>
        <w:rPr>
          <w:rFonts w:cs="Arial"/>
        </w:rPr>
        <w:t xml:space="preserve">May 2017) but there may well be opportunities for tighter and repeatable processes to correctly </w:t>
      </w:r>
      <w:r w:rsidR="0052032C">
        <w:rPr>
          <w:rFonts w:cs="Arial"/>
        </w:rPr>
        <w:t xml:space="preserve">calculate, </w:t>
      </w:r>
      <w:r>
        <w:rPr>
          <w:rFonts w:cs="Arial"/>
        </w:rPr>
        <w:t xml:space="preserve">levy and collect these </w:t>
      </w:r>
      <w:r w:rsidR="0052032C">
        <w:rPr>
          <w:rFonts w:cs="Arial"/>
        </w:rPr>
        <w:t xml:space="preserve">payments </w:t>
      </w:r>
      <w:r>
        <w:rPr>
          <w:rFonts w:cs="Arial"/>
        </w:rPr>
        <w:t>as a result of the deployment of wind turbines on the land.</w:t>
      </w:r>
    </w:p>
    <w:p w14:paraId="0B82D897" w14:textId="77777777" w:rsidR="00947ED2" w:rsidRPr="00F47E6D" w:rsidRDefault="00947ED2" w:rsidP="00D35B01">
      <w:pPr>
        <w:pStyle w:val="ListParagraph"/>
        <w:numPr>
          <w:ilvl w:val="1"/>
          <w:numId w:val="8"/>
        </w:numPr>
        <w:rPr>
          <w:rFonts w:cs="Arial"/>
          <w:b/>
        </w:rPr>
      </w:pPr>
      <w:r w:rsidRPr="00F47E6D">
        <w:rPr>
          <w:rFonts w:cs="Arial"/>
          <w:b/>
        </w:rPr>
        <w:t>Recommendations</w:t>
      </w:r>
    </w:p>
    <w:p w14:paraId="35BBC464" w14:textId="5F6DB842" w:rsidR="00947ED2" w:rsidRPr="00F47E6D" w:rsidRDefault="00947ED2" w:rsidP="00D35B01">
      <w:pPr>
        <w:pStyle w:val="ListParagraph"/>
        <w:numPr>
          <w:ilvl w:val="2"/>
          <w:numId w:val="8"/>
        </w:numPr>
        <w:ind w:left="1400" w:hanging="680"/>
        <w:rPr>
          <w:rFonts w:cs="Arial"/>
        </w:rPr>
      </w:pPr>
      <w:r w:rsidRPr="00F47E6D">
        <w:rPr>
          <w:rFonts w:cs="Arial"/>
        </w:rPr>
        <w:t>The developer should ensure that landowner expectations are properly managed from the outset and that potential host landowners are made fully aware of the risks of potential reduction in turbines and relocation of turbines during the long development process life-cycle.</w:t>
      </w:r>
      <w:r>
        <w:rPr>
          <w:rFonts w:cs="Arial"/>
        </w:rPr>
        <w:t xml:space="preserve"> Agreements that enable the developer to have the exclusive rights to the landowner’s property should have fair and reasonable provisions for the landowner to terminate th</w:t>
      </w:r>
      <w:r w:rsidR="000C3931">
        <w:rPr>
          <w:rFonts w:cs="Arial"/>
        </w:rPr>
        <w:t>e</w:t>
      </w:r>
      <w:r>
        <w:rPr>
          <w:rFonts w:cs="Arial"/>
        </w:rPr>
        <w:t xml:space="preserve"> agreement after a </w:t>
      </w:r>
      <w:r w:rsidR="000C3931">
        <w:rPr>
          <w:rFonts w:cs="Arial"/>
        </w:rPr>
        <w:t xml:space="preserve">reasonable </w:t>
      </w:r>
      <w:r>
        <w:rPr>
          <w:rFonts w:cs="Arial"/>
        </w:rPr>
        <w:t>period of time.</w:t>
      </w:r>
    </w:p>
    <w:p w14:paraId="7F69F841" w14:textId="204E7619" w:rsidR="00947ED2" w:rsidRPr="00F47E6D" w:rsidRDefault="00947ED2" w:rsidP="00D35B01">
      <w:pPr>
        <w:pStyle w:val="ListParagraph"/>
        <w:numPr>
          <w:ilvl w:val="2"/>
          <w:numId w:val="8"/>
        </w:numPr>
        <w:ind w:left="1400" w:hanging="680"/>
        <w:rPr>
          <w:rFonts w:cs="Arial"/>
        </w:rPr>
      </w:pPr>
      <w:r>
        <w:rPr>
          <w:rFonts w:cs="Arial"/>
        </w:rPr>
        <w:t>Where practical, d</w:t>
      </w:r>
      <w:r w:rsidRPr="00F47E6D">
        <w:rPr>
          <w:rFonts w:cs="Arial"/>
        </w:rPr>
        <w:t xml:space="preserve">evelopers should consider discussing the </w:t>
      </w:r>
      <w:r>
        <w:rPr>
          <w:rFonts w:cs="Arial"/>
        </w:rPr>
        <w:t xml:space="preserve">proposed </w:t>
      </w:r>
      <w:r w:rsidRPr="00F47E6D">
        <w:rPr>
          <w:rFonts w:cs="Arial"/>
        </w:rPr>
        <w:t>project and negotiating with all potential host landowners together as a group in an inclusive and holistic manner, rather than individual discussions with landowners.</w:t>
      </w:r>
      <w:r>
        <w:rPr>
          <w:rFonts w:cs="Arial"/>
        </w:rPr>
        <w:t xml:space="preserve"> A standard agreement with consistent commercial terms should be considered by developers and supported by industry.</w:t>
      </w:r>
    </w:p>
    <w:p w14:paraId="1F65E434" w14:textId="77777777" w:rsidR="00947ED2" w:rsidRPr="00F47E6D" w:rsidRDefault="00947ED2" w:rsidP="00D35B01">
      <w:pPr>
        <w:pStyle w:val="ListParagraph"/>
        <w:numPr>
          <w:ilvl w:val="2"/>
          <w:numId w:val="8"/>
        </w:numPr>
        <w:ind w:left="1400" w:hanging="680"/>
        <w:rPr>
          <w:rFonts w:cs="Arial"/>
        </w:rPr>
      </w:pPr>
      <w:r w:rsidRPr="00F47E6D">
        <w:rPr>
          <w:rFonts w:cs="Arial"/>
        </w:rPr>
        <w:lastRenderedPageBreak/>
        <w:t xml:space="preserve">Further to </w:t>
      </w:r>
      <w:r>
        <w:rPr>
          <w:rFonts w:cs="Arial"/>
        </w:rPr>
        <w:t xml:space="preserve">Recommendation </w:t>
      </w:r>
      <w:r w:rsidRPr="00F47E6D">
        <w:rPr>
          <w:rFonts w:cs="Arial"/>
        </w:rPr>
        <w:t xml:space="preserve">1.2.2, developers should consider offering </w:t>
      </w:r>
      <w:r>
        <w:rPr>
          <w:rFonts w:cs="Arial"/>
        </w:rPr>
        <w:t>some</w:t>
      </w:r>
      <w:r w:rsidRPr="00F47E6D">
        <w:rPr>
          <w:rFonts w:cs="Arial"/>
        </w:rPr>
        <w:t xml:space="preserve"> level of compensation to all </w:t>
      </w:r>
      <w:r>
        <w:rPr>
          <w:rFonts w:cs="Arial"/>
        </w:rPr>
        <w:t xml:space="preserve">engaged </w:t>
      </w:r>
      <w:r w:rsidRPr="00F47E6D">
        <w:rPr>
          <w:rFonts w:cs="Arial"/>
        </w:rPr>
        <w:t>potential host landowners if the project proceeds, regardless of final allocation of turbines on individual properties.</w:t>
      </w:r>
    </w:p>
    <w:p w14:paraId="22F06BD8" w14:textId="7EC3B7DD" w:rsidR="00947ED2" w:rsidRDefault="00947ED2" w:rsidP="00D35B01">
      <w:pPr>
        <w:pStyle w:val="ListParagraph"/>
        <w:numPr>
          <w:ilvl w:val="2"/>
          <w:numId w:val="8"/>
        </w:numPr>
        <w:ind w:left="1400" w:hanging="680"/>
        <w:rPr>
          <w:rFonts w:cs="Arial"/>
        </w:rPr>
      </w:pPr>
      <w:r w:rsidRPr="00F47E6D">
        <w:rPr>
          <w:rFonts w:cs="Arial"/>
        </w:rPr>
        <w:t xml:space="preserve">Host landowner agreements should be fair and reasonable, be written in plain English and the landowner should have access to and obtain appropriate legal and financial advice before entering into any agreement. The New South Wales Government’s recently issued </w:t>
      </w:r>
      <w:r w:rsidRPr="00F47E6D">
        <w:rPr>
          <w:rFonts w:cs="Arial"/>
          <w:i/>
        </w:rPr>
        <w:t xml:space="preserve">Wind </w:t>
      </w:r>
      <w:r>
        <w:rPr>
          <w:rFonts w:cs="Arial"/>
          <w:i/>
        </w:rPr>
        <w:t>E</w:t>
      </w:r>
      <w:r w:rsidRPr="00F47E6D">
        <w:rPr>
          <w:rFonts w:cs="Arial"/>
          <w:i/>
        </w:rPr>
        <w:t xml:space="preserve">nergy </w:t>
      </w:r>
      <w:r>
        <w:rPr>
          <w:rFonts w:cs="Arial"/>
          <w:i/>
        </w:rPr>
        <w:t>G</w:t>
      </w:r>
      <w:r w:rsidRPr="00F47E6D">
        <w:rPr>
          <w:rFonts w:cs="Arial"/>
          <w:i/>
        </w:rPr>
        <w:t xml:space="preserve">uideline for State </w:t>
      </w:r>
      <w:r>
        <w:rPr>
          <w:rFonts w:cs="Arial"/>
          <w:i/>
        </w:rPr>
        <w:t>S</w:t>
      </w:r>
      <w:r w:rsidRPr="00F47E6D">
        <w:rPr>
          <w:rFonts w:cs="Arial"/>
          <w:i/>
        </w:rPr>
        <w:t xml:space="preserve">ignificant </w:t>
      </w:r>
      <w:r>
        <w:rPr>
          <w:rFonts w:cs="Arial"/>
          <w:i/>
        </w:rPr>
        <w:t>W</w:t>
      </w:r>
      <w:r w:rsidRPr="00F47E6D">
        <w:rPr>
          <w:rFonts w:cs="Arial"/>
          <w:i/>
        </w:rPr>
        <w:t xml:space="preserve">ind </w:t>
      </w:r>
      <w:r>
        <w:rPr>
          <w:rFonts w:cs="Arial"/>
          <w:i/>
        </w:rPr>
        <w:t>E</w:t>
      </w:r>
      <w:r w:rsidRPr="00F47E6D">
        <w:rPr>
          <w:rFonts w:cs="Arial"/>
          <w:i/>
        </w:rPr>
        <w:t xml:space="preserve">nergy </w:t>
      </w:r>
      <w:r>
        <w:rPr>
          <w:rFonts w:cs="Arial"/>
          <w:i/>
        </w:rPr>
        <w:t>D</w:t>
      </w:r>
      <w:r w:rsidRPr="00F47E6D">
        <w:rPr>
          <w:rFonts w:cs="Arial"/>
          <w:i/>
        </w:rPr>
        <w:t>evelopment</w:t>
      </w:r>
      <w:r w:rsidRPr="00F47E6D">
        <w:rPr>
          <w:rFonts w:cs="Arial"/>
        </w:rPr>
        <w:t xml:space="preserve"> (NSW Department of Pla</w:t>
      </w:r>
      <w:r>
        <w:rPr>
          <w:rFonts w:cs="Arial"/>
        </w:rPr>
        <w:t>nning, December 2016) provides</w:t>
      </w:r>
      <w:r w:rsidRPr="00F47E6D">
        <w:rPr>
          <w:rFonts w:cs="Arial"/>
        </w:rPr>
        <w:t xml:space="preserve"> </w:t>
      </w:r>
      <w:r>
        <w:rPr>
          <w:rFonts w:cs="Arial"/>
        </w:rPr>
        <w:t>some discussion on this topic, particularly</w:t>
      </w:r>
      <w:r w:rsidRPr="00951E59">
        <w:rPr>
          <w:rFonts w:cs="Arial"/>
        </w:rPr>
        <w:t xml:space="preserve"> </w:t>
      </w:r>
      <w:r w:rsidRPr="00F47E6D">
        <w:rPr>
          <w:rFonts w:cs="Arial"/>
        </w:rPr>
        <w:t>within Attachment B</w:t>
      </w:r>
      <w:r>
        <w:rPr>
          <w:rFonts w:cs="Arial"/>
        </w:rPr>
        <w:t xml:space="preserve"> of the publication</w:t>
      </w:r>
      <w:r w:rsidRPr="00F47E6D">
        <w:rPr>
          <w:rFonts w:cs="Arial"/>
        </w:rPr>
        <w:t xml:space="preserve">. NSW Farmers’ Federation have also produced a </w:t>
      </w:r>
      <w:r w:rsidRPr="00F47E6D">
        <w:rPr>
          <w:rFonts w:cs="Arial"/>
          <w:i/>
        </w:rPr>
        <w:t>Wind Farm Guide for Host Landowners</w:t>
      </w:r>
      <w:r w:rsidRPr="00F47E6D">
        <w:rPr>
          <w:rFonts w:cs="Arial"/>
        </w:rPr>
        <w:t xml:space="preserve"> (GHD Pty Ltd, 2012) covering a range of relevant topics relate</w:t>
      </w:r>
      <w:r>
        <w:rPr>
          <w:rFonts w:cs="Arial"/>
        </w:rPr>
        <w:t>d to host landowner agreements. Specific areas of agreements requiring clarity in landowner agreements include:</w:t>
      </w:r>
    </w:p>
    <w:p w14:paraId="7C6605D9" w14:textId="3571A82D" w:rsidR="00947ED2" w:rsidRDefault="00633739" w:rsidP="00947ED2">
      <w:pPr>
        <w:pStyle w:val="ListBullet"/>
        <w:ind w:left="2529"/>
      </w:pPr>
      <w:r>
        <w:t>f</w:t>
      </w:r>
      <w:r w:rsidR="00947ED2">
        <w:t>ees payable to the landowner during the project development stage (pre-permit), financial close stage (post-permit), construction and operational stages</w:t>
      </w:r>
    </w:p>
    <w:p w14:paraId="70FB4180" w14:textId="644D88CF" w:rsidR="00947ED2" w:rsidRDefault="00633739" w:rsidP="00947ED2">
      <w:pPr>
        <w:pStyle w:val="ListBullet"/>
        <w:ind w:left="2529"/>
      </w:pPr>
      <w:r>
        <w:t>c</w:t>
      </w:r>
      <w:r w:rsidR="00947ED2">
        <w:t>onsiderations if the project is cancelled or materially delayed</w:t>
      </w:r>
    </w:p>
    <w:p w14:paraId="720CCC73" w14:textId="0D864B76" w:rsidR="00947ED2" w:rsidRDefault="00633739" w:rsidP="00947ED2">
      <w:pPr>
        <w:pStyle w:val="ListBullet"/>
        <w:ind w:left="2529"/>
      </w:pPr>
      <w:r>
        <w:t>c</w:t>
      </w:r>
      <w:r w:rsidR="00947ED2">
        <w:t>hanges to turbine layout, turbine specifications and number of turbines</w:t>
      </w:r>
    </w:p>
    <w:p w14:paraId="700C48D7" w14:textId="7409B4AC" w:rsidR="00947ED2" w:rsidRDefault="00633739" w:rsidP="00947ED2">
      <w:pPr>
        <w:pStyle w:val="ListBullet"/>
        <w:ind w:left="2529"/>
      </w:pPr>
      <w:r>
        <w:t>c</w:t>
      </w:r>
      <w:r w:rsidR="00947ED2">
        <w:t>hanges to and effects of project infrastructure on or to landowners property (e.g. roads) and maintenance of infrastructure</w:t>
      </w:r>
    </w:p>
    <w:p w14:paraId="2253640E" w14:textId="0EDAF6A3" w:rsidR="00947ED2" w:rsidRDefault="00633739" w:rsidP="00947ED2">
      <w:pPr>
        <w:pStyle w:val="ListBullet"/>
        <w:ind w:left="2529"/>
      </w:pPr>
      <w:r>
        <w:t>r</w:t>
      </w:r>
      <w:r w:rsidR="00947ED2">
        <w:t xml:space="preserve">esponsibility for payment of additional </w:t>
      </w:r>
      <w:r>
        <w:t>c</w:t>
      </w:r>
      <w:r w:rsidR="00947ED2">
        <w:t xml:space="preserve">ouncil </w:t>
      </w:r>
      <w:r>
        <w:t>r</w:t>
      </w:r>
      <w:r w:rsidR="00947ED2">
        <w:t>ates levied on the landowner as a result of the wind farm</w:t>
      </w:r>
    </w:p>
    <w:p w14:paraId="743241FA" w14:textId="517CF1B1" w:rsidR="00947ED2" w:rsidRDefault="00633739" w:rsidP="00947ED2">
      <w:pPr>
        <w:pStyle w:val="ListBullet"/>
        <w:ind w:left="2529"/>
      </w:pPr>
      <w:r>
        <w:t>r</w:t>
      </w:r>
      <w:r w:rsidR="00947ED2">
        <w:t xml:space="preserve">esponsibility for payment of additional </w:t>
      </w:r>
      <w:r>
        <w:t>l</w:t>
      </w:r>
      <w:r w:rsidR="00947ED2">
        <w:t xml:space="preserve">and </w:t>
      </w:r>
      <w:r>
        <w:t>ta</w:t>
      </w:r>
      <w:r w:rsidR="00947ED2">
        <w:t>xes levied on the landowner as a result of the wind farm</w:t>
      </w:r>
    </w:p>
    <w:p w14:paraId="471A0C4E" w14:textId="4150E340" w:rsidR="00947ED2" w:rsidRDefault="00633739" w:rsidP="00947ED2">
      <w:pPr>
        <w:pStyle w:val="ListBullet"/>
        <w:ind w:left="2529"/>
      </w:pPr>
      <w:r>
        <w:t>r</w:t>
      </w:r>
      <w:r w:rsidR="00947ED2">
        <w:t>esponsibility for additional emergency services levies as a result of the wind farm</w:t>
      </w:r>
    </w:p>
    <w:p w14:paraId="4D56E92C" w14:textId="572AE0D2" w:rsidR="00947ED2" w:rsidRDefault="00633739" w:rsidP="00947ED2">
      <w:pPr>
        <w:pStyle w:val="ListBullet"/>
        <w:ind w:left="2529"/>
      </w:pPr>
      <w:r>
        <w:t>r</w:t>
      </w:r>
      <w:r w:rsidR="00947ED2">
        <w:t>equired insurances to be taken out by the wind farm operator in respect of the landowner</w:t>
      </w:r>
    </w:p>
    <w:p w14:paraId="1A3C18D9" w14:textId="22FFB893" w:rsidR="00947ED2" w:rsidRDefault="00633739" w:rsidP="00947ED2">
      <w:pPr>
        <w:pStyle w:val="ListBullet"/>
        <w:ind w:left="2529"/>
      </w:pPr>
      <w:r>
        <w:t>r</w:t>
      </w:r>
      <w:r w:rsidR="00947ED2">
        <w:t>equired insurances to be taken out by the landowner in respect of the wind farm</w:t>
      </w:r>
    </w:p>
    <w:p w14:paraId="0E920AD6" w14:textId="4758A28A" w:rsidR="00947ED2" w:rsidRDefault="00633739" w:rsidP="00947ED2">
      <w:pPr>
        <w:pStyle w:val="ListBullet"/>
        <w:ind w:left="2529"/>
      </w:pPr>
      <w:r>
        <w:t>r</w:t>
      </w:r>
      <w:r w:rsidR="00947ED2">
        <w:t>esponsibility for payment of the various insurances</w:t>
      </w:r>
    </w:p>
    <w:p w14:paraId="13B66A98" w14:textId="2E605862" w:rsidR="00947ED2" w:rsidRDefault="00633739" w:rsidP="00947ED2">
      <w:pPr>
        <w:pStyle w:val="ListBullet"/>
        <w:ind w:left="2529"/>
      </w:pPr>
      <w:r>
        <w:t>l</w:t>
      </w:r>
      <w:r w:rsidR="00947ED2">
        <w:t>andowners responsibilities in regard to renting out the property and/or residence(s) to a tenant</w:t>
      </w:r>
    </w:p>
    <w:p w14:paraId="5823FB32" w14:textId="412B6FAF" w:rsidR="00947ED2" w:rsidRDefault="00633739" w:rsidP="00947ED2">
      <w:pPr>
        <w:pStyle w:val="ListBullet"/>
        <w:ind w:left="2529"/>
      </w:pPr>
      <w:r>
        <w:t>s</w:t>
      </w:r>
      <w:r w:rsidR="00947ED2">
        <w:t>ale or transfer of the land</w:t>
      </w:r>
    </w:p>
    <w:p w14:paraId="0F42B4EA" w14:textId="0D232EEE" w:rsidR="000C3931" w:rsidRDefault="000C3931" w:rsidP="00947ED2">
      <w:pPr>
        <w:pStyle w:val="ListBullet"/>
        <w:ind w:left="2529"/>
      </w:pPr>
      <w:r>
        <w:t>development on the property</w:t>
      </w:r>
    </w:p>
    <w:p w14:paraId="77688CEB" w14:textId="3A685C60" w:rsidR="00947ED2" w:rsidRDefault="00633739" w:rsidP="00947ED2">
      <w:pPr>
        <w:pStyle w:val="ListBullet"/>
        <w:ind w:left="2529"/>
      </w:pPr>
      <w:r>
        <w:t>s</w:t>
      </w:r>
      <w:r w:rsidR="00947ED2">
        <w:t>ubdivision of the property</w:t>
      </w:r>
    </w:p>
    <w:p w14:paraId="00F318D3" w14:textId="50AC9382" w:rsidR="00947ED2" w:rsidRDefault="00633739" w:rsidP="00947ED2">
      <w:pPr>
        <w:pStyle w:val="ListBullet"/>
        <w:ind w:left="2529"/>
      </w:pPr>
      <w:r>
        <w:t>t</w:t>
      </w:r>
      <w:r w:rsidR="00947ED2">
        <w:t>ermination provisions</w:t>
      </w:r>
    </w:p>
    <w:p w14:paraId="090BF71A" w14:textId="5955908E" w:rsidR="00947ED2" w:rsidRDefault="00633739" w:rsidP="00947ED2">
      <w:pPr>
        <w:pStyle w:val="ListBullet"/>
        <w:ind w:left="2529"/>
      </w:pPr>
      <w:r>
        <w:t>a</w:t>
      </w:r>
      <w:r w:rsidR="00947ED2">
        <w:t>ssurance provisions in the event the wind farm defaults (such as deposit or bank guarantee)</w:t>
      </w:r>
      <w:r w:rsidR="007B2443">
        <w:t>, and</w:t>
      </w:r>
    </w:p>
    <w:p w14:paraId="2B134683" w14:textId="55ED0394" w:rsidR="00947ED2" w:rsidRDefault="00633739" w:rsidP="00947ED2">
      <w:pPr>
        <w:pStyle w:val="ListBullet"/>
        <w:ind w:left="2529"/>
      </w:pPr>
      <w:r>
        <w:t>d</w:t>
      </w:r>
      <w:r w:rsidR="00947ED2">
        <w:t>ecommissioning provisions</w:t>
      </w:r>
      <w:r w:rsidR="000C3931">
        <w:t xml:space="preserve"> and responsibilities</w:t>
      </w:r>
      <w:r>
        <w:t>.</w:t>
      </w:r>
    </w:p>
    <w:p w14:paraId="0C87DEE5" w14:textId="5954D775" w:rsidR="00947ED2" w:rsidRPr="00075990" w:rsidRDefault="00947ED2" w:rsidP="00947ED2">
      <w:pPr>
        <w:pStyle w:val="NoSpacing"/>
        <w:ind w:left="1440"/>
        <w:rPr>
          <w:rFonts w:ascii="Arial" w:hAnsi="Arial" w:cs="Arial"/>
        </w:rPr>
      </w:pPr>
      <w:r w:rsidRPr="00075990">
        <w:rPr>
          <w:rFonts w:ascii="Arial" w:hAnsi="Arial" w:cs="Arial"/>
        </w:rPr>
        <w:lastRenderedPageBreak/>
        <w:t xml:space="preserve">The above items could well form the basis of a standard template </w:t>
      </w:r>
      <w:r w:rsidR="000C3931">
        <w:rPr>
          <w:rFonts w:ascii="Arial" w:hAnsi="Arial" w:cs="Arial"/>
        </w:rPr>
        <w:t xml:space="preserve">of a </w:t>
      </w:r>
      <w:r w:rsidRPr="00075990">
        <w:rPr>
          <w:rFonts w:ascii="Arial" w:hAnsi="Arial" w:cs="Arial"/>
        </w:rPr>
        <w:t>commercial agreement</w:t>
      </w:r>
      <w:r w:rsidR="000C3931">
        <w:rPr>
          <w:rFonts w:ascii="Arial" w:hAnsi="Arial" w:cs="Arial"/>
        </w:rPr>
        <w:t xml:space="preserve"> </w:t>
      </w:r>
      <w:r w:rsidRPr="00075990">
        <w:rPr>
          <w:rFonts w:ascii="Arial" w:hAnsi="Arial" w:cs="Arial"/>
        </w:rPr>
        <w:t>that is managed and maintained by an appropriate legal, industry or government body.</w:t>
      </w:r>
    </w:p>
    <w:p w14:paraId="537EA921" w14:textId="77777777" w:rsidR="00947ED2" w:rsidRPr="00F47E6D" w:rsidRDefault="00947ED2" w:rsidP="00947ED2">
      <w:pPr>
        <w:pStyle w:val="NoSpacing"/>
      </w:pPr>
    </w:p>
    <w:p w14:paraId="3D2B4672" w14:textId="368B49A4" w:rsidR="00947ED2" w:rsidRDefault="00947ED2" w:rsidP="00D35B01">
      <w:pPr>
        <w:pStyle w:val="ListParagraph"/>
        <w:numPr>
          <w:ilvl w:val="2"/>
          <w:numId w:val="8"/>
        </w:numPr>
        <w:ind w:left="1400" w:hanging="680"/>
        <w:rPr>
          <w:rFonts w:cs="Arial"/>
        </w:rPr>
      </w:pPr>
      <w:r w:rsidRPr="006024DC">
        <w:rPr>
          <w:rFonts w:cs="Arial"/>
        </w:rPr>
        <w:t>Council</w:t>
      </w:r>
      <w:r w:rsidR="00633739">
        <w:rPr>
          <w:rFonts w:cs="Arial"/>
        </w:rPr>
        <w:t>s</w:t>
      </w:r>
      <w:r w:rsidRPr="006024DC">
        <w:rPr>
          <w:rFonts w:cs="Arial"/>
        </w:rPr>
        <w:t xml:space="preserve"> and </w:t>
      </w:r>
      <w:r w:rsidR="00633739">
        <w:rPr>
          <w:rFonts w:cs="Arial"/>
        </w:rPr>
        <w:t>s</w:t>
      </w:r>
      <w:r w:rsidRPr="006024DC">
        <w:rPr>
          <w:rFonts w:cs="Arial"/>
        </w:rPr>
        <w:t xml:space="preserve">tate jurisdictions should examine and audit current processes in place for the re-rating of properties that host wind farm turbines and </w:t>
      </w:r>
      <w:r w:rsidR="000C3931">
        <w:rPr>
          <w:rFonts w:cs="Arial"/>
        </w:rPr>
        <w:t xml:space="preserve">related </w:t>
      </w:r>
      <w:r w:rsidRPr="006024DC">
        <w:rPr>
          <w:rFonts w:cs="Arial"/>
        </w:rPr>
        <w:t>infrastructure and how those properties are valued for the purpose of calculating land taxes and council rates. A similar activity should be undertaken for the calculation of emergency services levies where applicable. The process and calculations should be transparent to relevant stakehold</w:t>
      </w:r>
      <w:r>
        <w:rPr>
          <w:rFonts w:cs="Arial"/>
        </w:rPr>
        <w:t>e</w:t>
      </w:r>
      <w:r w:rsidRPr="006024DC">
        <w:rPr>
          <w:rFonts w:cs="Arial"/>
        </w:rPr>
        <w:t>rs</w:t>
      </w:r>
      <w:r>
        <w:rPr>
          <w:rFonts w:cs="Arial"/>
        </w:rPr>
        <w:t xml:space="preserve"> and be subject to audit </w:t>
      </w:r>
      <w:r w:rsidRPr="00925761">
        <w:rPr>
          <w:rFonts w:cs="Arial"/>
        </w:rPr>
        <w:t xml:space="preserve">and </w:t>
      </w:r>
      <w:r w:rsidR="00925761" w:rsidRPr="00925761">
        <w:rPr>
          <w:rFonts w:cs="Arial"/>
        </w:rPr>
        <w:t xml:space="preserve">be </w:t>
      </w:r>
      <w:r w:rsidRPr="00925761">
        <w:rPr>
          <w:rFonts w:cs="Arial"/>
        </w:rPr>
        <w:t>auditable</w:t>
      </w:r>
      <w:r>
        <w:rPr>
          <w:rFonts w:cs="Arial"/>
        </w:rPr>
        <w:t>.</w:t>
      </w:r>
    </w:p>
    <w:p w14:paraId="403A5157" w14:textId="50937417" w:rsidR="00947ED2" w:rsidRPr="006024DC" w:rsidRDefault="00947ED2" w:rsidP="00D35B01">
      <w:pPr>
        <w:pStyle w:val="ListParagraph"/>
        <w:numPr>
          <w:ilvl w:val="2"/>
          <w:numId w:val="8"/>
        </w:numPr>
        <w:ind w:left="1400" w:hanging="680"/>
        <w:rPr>
          <w:rFonts w:cs="Arial"/>
        </w:rPr>
      </w:pPr>
      <w:r w:rsidRPr="006024DC">
        <w:rPr>
          <w:rFonts w:cs="Arial"/>
        </w:rPr>
        <w:t>Other landowner agreements (such as for transmission line</w:t>
      </w:r>
      <w:r w:rsidR="000C3931">
        <w:rPr>
          <w:rFonts w:cs="Arial"/>
        </w:rPr>
        <w:t xml:space="preserve"> easement</w:t>
      </w:r>
      <w:r w:rsidRPr="006024DC">
        <w:rPr>
          <w:rFonts w:cs="Arial"/>
        </w:rPr>
        <w:t xml:space="preserve">s or road access) should also be negotiated and finalised with </w:t>
      </w:r>
      <w:r>
        <w:rPr>
          <w:rFonts w:cs="Arial"/>
        </w:rPr>
        <w:t xml:space="preserve">the </w:t>
      </w:r>
      <w:r w:rsidRPr="006024DC">
        <w:rPr>
          <w:rFonts w:cs="Arial"/>
        </w:rPr>
        <w:t>landowners in a fair and reasonable manner, with appropriate consultation</w:t>
      </w:r>
      <w:r w:rsidR="000C3931">
        <w:rPr>
          <w:rFonts w:cs="Arial"/>
        </w:rPr>
        <w:t>s engaging</w:t>
      </w:r>
      <w:r w:rsidRPr="006024DC">
        <w:rPr>
          <w:rFonts w:cs="Arial"/>
        </w:rPr>
        <w:t xml:space="preserve"> affected landowners and neighbours in determining the final approach and routes to be taken.</w:t>
      </w:r>
    </w:p>
    <w:p w14:paraId="184F4CDA" w14:textId="77777777" w:rsidR="00947ED2" w:rsidRDefault="00947ED2" w:rsidP="00D35B01">
      <w:pPr>
        <w:pStyle w:val="ListParagraph"/>
        <w:numPr>
          <w:ilvl w:val="2"/>
          <w:numId w:val="8"/>
        </w:numPr>
        <w:ind w:left="1400" w:hanging="680"/>
        <w:rPr>
          <w:rFonts w:cs="Arial"/>
        </w:rPr>
      </w:pPr>
      <w:r>
        <w:rPr>
          <w:rFonts w:cs="Arial"/>
        </w:rPr>
        <w:t>In certain situations, d</w:t>
      </w:r>
      <w:r w:rsidRPr="00F47E6D">
        <w:rPr>
          <w:rFonts w:cs="Arial"/>
        </w:rPr>
        <w:t>evelopers may wish to consider other forms of en</w:t>
      </w:r>
      <w:r>
        <w:rPr>
          <w:rFonts w:cs="Arial"/>
        </w:rPr>
        <w:t>gagement with landowners (as well as neighbours and</w:t>
      </w:r>
      <w:r w:rsidRPr="00F47E6D">
        <w:rPr>
          <w:rFonts w:cs="Arial"/>
        </w:rPr>
        <w:t xml:space="preserve"> community members) that may allow for equity and/or debt participation in the ownership of the project.</w:t>
      </w:r>
    </w:p>
    <w:p w14:paraId="3543FD4B" w14:textId="3EB2BCA3" w:rsidR="00947ED2" w:rsidRDefault="00947ED2" w:rsidP="00D35B01">
      <w:pPr>
        <w:pStyle w:val="ListParagraph"/>
        <w:numPr>
          <w:ilvl w:val="2"/>
          <w:numId w:val="8"/>
        </w:numPr>
        <w:ind w:left="1400" w:hanging="680"/>
        <w:rPr>
          <w:rFonts w:cs="Arial"/>
        </w:rPr>
      </w:pPr>
      <w:r>
        <w:rPr>
          <w:rFonts w:cs="Arial"/>
        </w:rPr>
        <w:t>The project’s construction plan</w:t>
      </w:r>
      <w:r w:rsidR="000C3931">
        <w:rPr>
          <w:rFonts w:cs="Arial"/>
        </w:rPr>
        <w:t xml:space="preserve"> and wind farm design</w:t>
      </w:r>
      <w:r>
        <w:rPr>
          <w:rFonts w:cs="Arial"/>
        </w:rPr>
        <w:t xml:space="preserve"> should be developed in close consultation with the landowners and designed so to respect the landowner’s need to be able to continue primary production operations by during and following construction. Particular attention should be given to paddock/gate management and the impact of access roads on the </w:t>
      </w:r>
      <w:r w:rsidR="000C3931">
        <w:rPr>
          <w:rFonts w:cs="Arial"/>
        </w:rPr>
        <w:t xml:space="preserve">ongoing </w:t>
      </w:r>
      <w:r>
        <w:rPr>
          <w:rFonts w:cs="Arial"/>
        </w:rPr>
        <w:t>farming activities.</w:t>
      </w:r>
    </w:p>
    <w:p w14:paraId="0C5905A2" w14:textId="74C3A08E" w:rsidR="00947ED2" w:rsidRPr="00F47E6D" w:rsidRDefault="00947ED2" w:rsidP="00D35B01">
      <w:pPr>
        <w:pStyle w:val="ListParagraph"/>
        <w:numPr>
          <w:ilvl w:val="2"/>
          <w:numId w:val="8"/>
        </w:numPr>
        <w:ind w:left="1400" w:hanging="680"/>
        <w:rPr>
          <w:rFonts w:cs="Arial"/>
        </w:rPr>
      </w:pPr>
      <w:r>
        <w:rPr>
          <w:rFonts w:cs="Arial"/>
        </w:rPr>
        <w:t xml:space="preserve">To ensure that professional conduct and standards are consistently adhered to by wind farm developers, </w:t>
      </w:r>
      <w:r w:rsidR="00462269">
        <w:rPr>
          <w:rFonts w:cs="Arial"/>
        </w:rPr>
        <w:t>s</w:t>
      </w:r>
      <w:r>
        <w:rPr>
          <w:rFonts w:cs="Arial"/>
        </w:rPr>
        <w:t xml:space="preserve">tate governments should consider licensing </w:t>
      </w:r>
      <w:r w:rsidR="00106950">
        <w:rPr>
          <w:rFonts w:cs="Arial"/>
        </w:rPr>
        <w:t xml:space="preserve">or accrediting </w:t>
      </w:r>
      <w:r>
        <w:rPr>
          <w:rFonts w:cs="Arial"/>
        </w:rPr>
        <w:t xml:space="preserve">developers that </w:t>
      </w:r>
      <w:r w:rsidR="00106950">
        <w:rPr>
          <w:rFonts w:cs="Arial"/>
        </w:rPr>
        <w:t xml:space="preserve">intend to </w:t>
      </w:r>
      <w:r>
        <w:rPr>
          <w:rFonts w:cs="Arial"/>
        </w:rPr>
        <w:t>prospect and develop wind farms. Further, as is the practice in the mining and exploration industr</w:t>
      </w:r>
      <w:r w:rsidR="000C3931">
        <w:rPr>
          <w:rFonts w:cs="Arial"/>
        </w:rPr>
        <w:t>ies</w:t>
      </w:r>
      <w:r>
        <w:rPr>
          <w:rFonts w:cs="Arial"/>
        </w:rPr>
        <w:t xml:space="preserve">, </w:t>
      </w:r>
      <w:r w:rsidR="00462269">
        <w:rPr>
          <w:rFonts w:cs="Arial"/>
        </w:rPr>
        <w:t>s</w:t>
      </w:r>
      <w:r>
        <w:rPr>
          <w:rFonts w:cs="Arial"/>
        </w:rPr>
        <w:t>tate governments should consider the requirement for a developer to obtain a prospecting permit prior to commencing a wind farm prospecting activity in a given location. The prospecting permit could be time</w:t>
      </w:r>
      <w:r w:rsidR="00462269">
        <w:rPr>
          <w:rFonts w:cs="Arial"/>
        </w:rPr>
        <w:t>-</w:t>
      </w:r>
      <w:r>
        <w:rPr>
          <w:rFonts w:cs="Arial"/>
        </w:rPr>
        <w:t xml:space="preserve">limited and cancellable if certain milestones are not achieved. </w:t>
      </w:r>
    </w:p>
    <w:p w14:paraId="4E39D418" w14:textId="77777777" w:rsidR="00947ED2" w:rsidRPr="00F47E6D" w:rsidRDefault="00947ED2" w:rsidP="00D35B01">
      <w:pPr>
        <w:pStyle w:val="ListParagraph"/>
        <w:numPr>
          <w:ilvl w:val="0"/>
          <w:numId w:val="8"/>
        </w:numPr>
        <w:rPr>
          <w:rFonts w:cs="Arial"/>
          <w:b/>
        </w:rPr>
      </w:pPr>
      <w:r w:rsidRPr="00F47E6D">
        <w:rPr>
          <w:rFonts w:cs="Arial"/>
          <w:b/>
        </w:rPr>
        <w:t>Neighbour Consultation and Agreements</w:t>
      </w:r>
    </w:p>
    <w:p w14:paraId="1B8A780F" w14:textId="77777777" w:rsidR="00947ED2" w:rsidRPr="00F47E6D" w:rsidRDefault="00947ED2" w:rsidP="00D35B01">
      <w:pPr>
        <w:pStyle w:val="ListParagraph"/>
        <w:numPr>
          <w:ilvl w:val="1"/>
          <w:numId w:val="8"/>
        </w:numPr>
        <w:rPr>
          <w:rFonts w:cs="Arial"/>
          <w:b/>
        </w:rPr>
      </w:pPr>
      <w:r w:rsidRPr="00F47E6D">
        <w:rPr>
          <w:rFonts w:cs="Arial"/>
          <w:b/>
        </w:rPr>
        <w:t>Observations</w:t>
      </w:r>
    </w:p>
    <w:p w14:paraId="2A2C9B09" w14:textId="7386398F" w:rsidR="00947ED2" w:rsidRPr="00F47E6D" w:rsidRDefault="00947ED2" w:rsidP="00947ED2">
      <w:pPr>
        <w:pStyle w:val="ListParagraph"/>
        <w:numPr>
          <w:ilvl w:val="0"/>
          <w:numId w:val="0"/>
        </w:numPr>
        <w:ind w:left="360"/>
        <w:rPr>
          <w:rFonts w:cs="Arial"/>
        </w:rPr>
      </w:pPr>
      <w:r w:rsidRPr="00F47E6D">
        <w:rPr>
          <w:rFonts w:cs="Arial"/>
        </w:rPr>
        <w:t xml:space="preserve">Most wind energy projects will have neighbours. Neighbours are residents of </w:t>
      </w:r>
      <w:r w:rsidR="00373672">
        <w:rPr>
          <w:rFonts w:cs="Arial"/>
        </w:rPr>
        <w:t xml:space="preserve">the </w:t>
      </w:r>
      <w:r w:rsidRPr="00F47E6D">
        <w:rPr>
          <w:rFonts w:cs="Arial"/>
        </w:rPr>
        <w:t xml:space="preserve">neighbouring properties to the </w:t>
      </w:r>
      <w:r>
        <w:rPr>
          <w:rFonts w:cs="Arial"/>
        </w:rPr>
        <w:t xml:space="preserve">landowner’s </w:t>
      </w:r>
      <w:r w:rsidRPr="00F47E6D">
        <w:rPr>
          <w:rFonts w:cs="Arial"/>
        </w:rPr>
        <w:t>properties that host, or will host turbines</w:t>
      </w:r>
      <w:r w:rsidR="00462269">
        <w:rPr>
          <w:rFonts w:cs="Arial"/>
        </w:rPr>
        <w:t xml:space="preserve"> – </w:t>
      </w:r>
      <w:r w:rsidRPr="00F47E6D">
        <w:rPr>
          <w:rFonts w:cs="Arial"/>
        </w:rPr>
        <w:t>either</w:t>
      </w:r>
      <w:r w:rsidR="00462269">
        <w:rPr>
          <w:rFonts w:cs="Arial"/>
        </w:rPr>
        <w:t xml:space="preserve"> </w:t>
      </w:r>
      <w:r w:rsidRPr="00F47E6D">
        <w:rPr>
          <w:rFonts w:cs="Arial"/>
        </w:rPr>
        <w:t xml:space="preserve">in adjoining properties or properties within proximity to turbines of the wind farm. There may also be neighbours </w:t>
      </w:r>
      <w:r>
        <w:rPr>
          <w:rFonts w:cs="Arial"/>
        </w:rPr>
        <w:t xml:space="preserve">not in direct proximity to the wind farm that could be </w:t>
      </w:r>
      <w:r w:rsidRPr="00F47E6D">
        <w:rPr>
          <w:rFonts w:cs="Arial"/>
        </w:rPr>
        <w:t xml:space="preserve">affected by other related </w:t>
      </w:r>
      <w:r>
        <w:rPr>
          <w:rFonts w:cs="Arial"/>
        </w:rPr>
        <w:t xml:space="preserve">wind farm </w:t>
      </w:r>
      <w:r w:rsidRPr="00F47E6D">
        <w:rPr>
          <w:rFonts w:cs="Arial"/>
        </w:rPr>
        <w:t>infrastructure, such as high voltage power lines and road access to the wind farm.</w:t>
      </w:r>
    </w:p>
    <w:p w14:paraId="0C447BF8" w14:textId="001C8261" w:rsidR="00947ED2" w:rsidRPr="00F47E6D" w:rsidRDefault="00947ED2" w:rsidP="00947ED2">
      <w:pPr>
        <w:pStyle w:val="ListParagraph"/>
        <w:numPr>
          <w:ilvl w:val="0"/>
          <w:numId w:val="0"/>
        </w:numPr>
        <w:ind w:left="360"/>
        <w:rPr>
          <w:rFonts w:cs="Arial"/>
        </w:rPr>
      </w:pPr>
      <w:r w:rsidRPr="00F47E6D">
        <w:rPr>
          <w:rFonts w:cs="Arial"/>
        </w:rPr>
        <w:t xml:space="preserve">Neighbours can be impacted by the development, construction and operation </w:t>
      </w:r>
      <w:r w:rsidR="00462269">
        <w:rPr>
          <w:rFonts w:cs="Arial"/>
        </w:rPr>
        <w:t xml:space="preserve">phases </w:t>
      </w:r>
      <w:r w:rsidRPr="00F47E6D">
        <w:rPr>
          <w:rFonts w:cs="Arial"/>
        </w:rPr>
        <w:t>of a wind farm. Impacts can include visual amenity, noise, shadow flicker and economic loss</w:t>
      </w:r>
      <w:r>
        <w:rPr>
          <w:rFonts w:cs="Arial"/>
        </w:rPr>
        <w:t xml:space="preserve"> – both the fear in anticipation of these impacts as well as actual impacts once the wind farm is operating</w:t>
      </w:r>
      <w:r w:rsidRPr="00F47E6D">
        <w:rPr>
          <w:rFonts w:cs="Arial"/>
        </w:rPr>
        <w:t xml:space="preserve">. Also, during construction, neighbours may experience dust, noise, </w:t>
      </w:r>
      <w:r>
        <w:rPr>
          <w:rFonts w:cs="Arial"/>
        </w:rPr>
        <w:t xml:space="preserve">road damage, </w:t>
      </w:r>
      <w:r w:rsidRPr="00F47E6D">
        <w:rPr>
          <w:rFonts w:cs="Arial"/>
        </w:rPr>
        <w:t>road blockages and other forms of disruption.</w:t>
      </w:r>
    </w:p>
    <w:p w14:paraId="3A548873" w14:textId="77777777" w:rsidR="00947ED2" w:rsidRPr="00F47E6D" w:rsidRDefault="00947ED2" w:rsidP="00947ED2">
      <w:pPr>
        <w:pStyle w:val="ListParagraph"/>
        <w:numPr>
          <w:ilvl w:val="0"/>
          <w:numId w:val="0"/>
        </w:numPr>
        <w:ind w:left="360"/>
        <w:rPr>
          <w:rFonts w:cs="Arial"/>
        </w:rPr>
      </w:pPr>
      <w:r w:rsidRPr="00F47E6D">
        <w:rPr>
          <w:rFonts w:cs="Arial"/>
        </w:rPr>
        <w:t xml:space="preserve">While developers have generally engaged and consulted with potential host landowners, developers have not always understood the importance of consulting and working with neighbours to a </w:t>
      </w:r>
      <w:r>
        <w:rPr>
          <w:rFonts w:cs="Arial"/>
        </w:rPr>
        <w:t xml:space="preserve">wind farm </w:t>
      </w:r>
      <w:r w:rsidRPr="00F47E6D">
        <w:rPr>
          <w:rFonts w:cs="Arial"/>
        </w:rPr>
        <w:t>project. Consultation may include a wide range of topics, such as:</w:t>
      </w:r>
    </w:p>
    <w:p w14:paraId="580375D3" w14:textId="77777777" w:rsidR="00947ED2" w:rsidRDefault="00947ED2" w:rsidP="00D35B01">
      <w:pPr>
        <w:pStyle w:val="ListBullet"/>
        <w:numPr>
          <w:ilvl w:val="0"/>
          <w:numId w:val="10"/>
        </w:numPr>
        <w:rPr>
          <w:rFonts w:cs="Arial"/>
        </w:rPr>
      </w:pPr>
      <w:r w:rsidRPr="00F47E6D">
        <w:rPr>
          <w:rFonts w:cs="Arial"/>
        </w:rPr>
        <w:lastRenderedPageBreak/>
        <w:t>consulting with neighbour</w:t>
      </w:r>
      <w:r>
        <w:rPr>
          <w:rFonts w:cs="Arial"/>
        </w:rPr>
        <w:t>s</w:t>
      </w:r>
      <w:r w:rsidRPr="00F47E6D">
        <w:rPr>
          <w:rFonts w:cs="Arial"/>
        </w:rPr>
        <w:t xml:space="preserve"> on the wind farm’s design and layout</w:t>
      </w:r>
      <w:r>
        <w:rPr>
          <w:rFonts w:cs="Arial"/>
        </w:rPr>
        <w:t>, especially during the early scoping and design stages and landscape/amenity impacts</w:t>
      </w:r>
    </w:p>
    <w:p w14:paraId="17CBF586" w14:textId="77777777" w:rsidR="00947ED2" w:rsidRDefault="00947ED2" w:rsidP="00D35B01">
      <w:pPr>
        <w:pStyle w:val="ListBullet"/>
        <w:numPr>
          <w:ilvl w:val="0"/>
          <w:numId w:val="10"/>
        </w:numPr>
        <w:rPr>
          <w:rFonts w:cs="Arial"/>
        </w:rPr>
      </w:pPr>
      <w:r>
        <w:rPr>
          <w:rFonts w:cs="Arial"/>
        </w:rPr>
        <w:t>consulting with neighbours on the process and oversight of activities such as predictive noise assessments, post construction noise testing, shadow flicker and visual amenity assessments</w:t>
      </w:r>
    </w:p>
    <w:p w14:paraId="0696CF4E" w14:textId="77777777" w:rsidR="00947ED2" w:rsidRPr="00F47E6D" w:rsidRDefault="00947ED2" w:rsidP="00D35B01">
      <w:pPr>
        <w:pStyle w:val="ListBullet"/>
        <w:numPr>
          <w:ilvl w:val="0"/>
          <w:numId w:val="10"/>
        </w:numPr>
        <w:rPr>
          <w:rFonts w:cs="Arial"/>
        </w:rPr>
      </w:pPr>
      <w:r>
        <w:rPr>
          <w:rFonts w:cs="Arial"/>
        </w:rPr>
        <w:t xml:space="preserve">advising and consulting on subsequent proposed </w:t>
      </w:r>
      <w:r w:rsidRPr="00F47E6D">
        <w:rPr>
          <w:rFonts w:cs="Arial"/>
        </w:rPr>
        <w:t>changes to the wind farm’s design</w:t>
      </w:r>
      <w:r>
        <w:rPr>
          <w:rFonts w:cs="Arial"/>
        </w:rPr>
        <w:t>, layout</w:t>
      </w:r>
      <w:r w:rsidRPr="00F47E6D">
        <w:rPr>
          <w:rFonts w:cs="Arial"/>
        </w:rPr>
        <w:t xml:space="preserve"> and turbine selection</w:t>
      </w:r>
    </w:p>
    <w:p w14:paraId="629B8A99" w14:textId="77777777" w:rsidR="00947ED2" w:rsidRPr="00F47E6D" w:rsidRDefault="00947ED2" w:rsidP="00D35B01">
      <w:pPr>
        <w:pStyle w:val="ListBullet"/>
        <w:numPr>
          <w:ilvl w:val="0"/>
          <w:numId w:val="10"/>
        </w:numPr>
        <w:rPr>
          <w:rFonts w:cs="Arial"/>
        </w:rPr>
      </w:pPr>
      <w:r w:rsidRPr="00F47E6D">
        <w:rPr>
          <w:rFonts w:cs="Arial"/>
        </w:rPr>
        <w:t>ensuring background and operating noise testing is properly undertaken</w:t>
      </w:r>
      <w:r>
        <w:rPr>
          <w:rFonts w:cs="Arial"/>
        </w:rPr>
        <w:t xml:space="preserve"> and results are provided in a timely fashion to neighbours</w:t>
      </w:r>
    </w:p>
    <w:p w14:paraId="0420F052" w14:textId="00AF1F6F" w:rsidR="00947ED2" w:rsidRPr="00F47E6D" w:rsidRDefault="00947ED2" w:rsidP="00D35B01">
      <w:pPr>
        <w:pStyle w:val="ListBullet"/>
        <w:numPr>
          <w:ilvl w:val="0"/>
          <w:numId w:val="10"/>
        </w:numPr>
        <w:rPr>
          <w:rFonts w:cs="Arial"/>
        </w:rPr>
      </w:pPr>
      <w:r w:rsidRPr="00F47E6D">
        <w:rPr>
          <w:rFonts w:cs="Arial"/>
        </w:rPr>
        <w:t>providing factual information to address questions and concerns raised by neighbour</w:t>
      </w:r>
      <w:r>
        <w:rPr>
          <w:rFonts w:cs="Arial"/>
        </w:rPr>
        <w:t>s</w:t>
      </w:r>
      <w:r w:rsidR="007B2443">
        <w:rPr>
          <w:rFonts w:cs="Arial"/>
        </w:rPr>
        <w:t>, and</w:t>
      </w:r>
    </w:p>
    <w:p w14:paraId="7EB01A01" w14:textId="101D3CE2" w:rsidR="00947ED2" w:rsidRPr="00F47E6D" w:rsidRDefault="00947ED2" w:rsidP="00D35B01">
      <w:pPr>
        <w:pStyle w:val="ListBullet"/>
        <w:numPr>
          <w:ilvl w:val="0"/>
          <w:numId w:val="10"/>
        </w:numPr>
        <w:rPr>
          <w:rFonts w:cs="Arial"/>
        </w:rPr>
      </w:pPr>
      <w:r w:rsidRPr="00F47E6D">
        <w:rPr>
          <w:rFonts w:cs="Arial"/>
        </w:rPr>
        <w:t xml:space="preserve">facilitating site visits for neighbours to </w:t>
      </w:r>
      <w:r>
        <w:rPr>
          <w:rFonts w:cs="Arial"/>
        </w:rPr>
        <w:t xml:space="preserve">other </w:t>
      </w:r>
      <w:r w:rsidRPr="00F47E6D">
        <w:rPr>
          <w:rFonts w:cs="Arial"/>
        </w:rPr>
        <w:t>operating wind farms to allow the neighbour to exp</w:t>
      </w:r>
      <w:r w:rsidR="00D15306">
        <w:rPr>
          <w:rFonts w:cs="Arial"/>
        </w:rPr>
        <w:t>erience a wind farm first-hand.</w:t>
      </w:r>
      <w:r>
        <w:rPr>
          <w:rFonts w:cs="Arial"/>
        </w:rPr>
        <w:t xml:space="preserve"> Alternately, wind farm simulators are available to enable neighbours and other stakeholders the opportunity to experience noise outputs of a wind farm in a wide range of scenarios.</w:t>
      </w:r>
    </w:p>
    <w:p w14:paraId="44E29C9D" w14:textId="77777777" w:rsidR="00947ED2" w:rsidRPr="00F47E6D" w:rsidRDefault="00947ED2" w:rsidP="00947ED2">
      <w:pPr>
        <w:pStyle w:val="ListParagraph"/>
        <w:numPr>
          <w:ilvl w:val="0"/>
          <w:numId w:val="0"/>
        </w:numPr>
        <w:ind w:left="360"/>
        <w:rPr>
          <w:rFonts w:cs="Arial"/>
        </w:rPr>
      </w:pPr>
      <w:r w:rsidRPr="00F47E6D">
        <w:rPr>
          <w:rFonts w:cs="Arial"/>
        </w:rPr>
        <w:t xml:space="preserve">Lack of effective consultation with neighbours can lead to a range of material issues for a wind farm project, including conspicuous opposition to the project, </w:t>
      </w:r>
      <w:r>
        <w:rPr>
          <w:rFonts w:cs="Arial"/>
        </w:rPr>
        <w:t xml:space="preserve">formal objections that may lead to </w:t>
      </w:r>
      <w:r w:rsidRPr="00F47E6D">
        <w:rPr>
          <w:rFonts w:cs="Arial"/>
        </w:rPr>
        <w:t xml:space="preserve">planning/approval delays and appeals, the project </w:t>
      </w:r>
      <w:r>
        <w:rPr>
          <w:rFonts w:cs="Arial"/>
        </w:rPr>
        <w:t xml:space="preserve">(or elements of the project) </w:t>
      </w:r>
      <w:r w:rsidRPr="00F47E6D">
        <w:rPr>
          <w:rFonts w:cs="Arial"/>
        </w:rPr>
        <w:t>not being approved as well as widespread negative media coverage about the project and the industry more broadly.</w:t>
      </w:r>
    </w:p>
    <w:p w14:paraId="449EFD70" w14:textId="339EAFCC" w:rsidR="00947ED2" w:rsidRPr="00F47E6D" w:rsidRDefault="00947ED2" w:rsidP="00947ED2">
      <w:pPr>
        <w:pStyle w:val="ListParagraph"/>
        <w:numPr>
          <w:ilvl w:val="0"/>
          <w:numId w:val="0"/>
        </w:numPr>
        <w:ind w:left="360"/>
        <w:rPr>
          <w:rFonts w:cs="Arial"/>
        </w:rPr>
      </w:pPr>
      <w:r w:rsidRPr="00F47E6D">
        <w:rPr>
          <w:rFonts w:cs="Arial"/>
        </w:rPr>
        <w:t>In addition to more effective consultation with neighbours throughout the life-cycle of a wind farm</w:t>
      </w:r>
      <w:r>
        <w:rPr>
          <w:rFonts w:cs="Arial"/>
        </w:rPr>
        <w:t>’s development</w:t>
      </w:r>
      <w:r w:rsidRPr="00F47E6D">
        <w:rPr>
          <w:rFonts w:cs="Arial"/>
        </w:rPr>
        <w:t xml:space="preserve">, some developers have introduced the concept of ‘neighbour agreements’ to provide a </w:t>
      </w:r>
      <w:r>
        <w:rPr>
          <w:rFonts w:cs="Arial"/>
        </w:rPr>
        <w:t xml:space="preserve">commercial arrangement between the wind farm and </w:t>
      </w:r>
      <w:r w:rsidRPr="00F47E6D">
        <w:rPr>
          <w:rFonts w:cs="Arial"/>
        </w:rPr>
        <w:t xml:space="preserve">neighbour </w:t>
      </w:r>
      <w:r>
        <w:rPr>
          <w:rFonts w:cs="Arial"/>
        </w:rPr>
        <w:t xml:space="preserve">that recognises </w:t>
      </w:r>
      <w:r w:rsidRPr="00F47E6D">
        <w:rPr>
          <w:rFonts w:cs="Arial"/>
        </w:rPr>
        <w:t xml:space="preserve">the possible impacts of the wind farm </w:t>
      </w:r>
      <w:r>
        <w:rPr>
          <w:rFonts w:cs="Arial"/>
        </w:rPr>
        <w:t xml:space="preserve">on the neighbour </w:t>
      </w:r>
      <w:r w:rsidRPr="00F47E6D">
        <w:rPr>
          <w:rFonts w:cs="Arial"/>
        </w:rPr>
        <w:t xml:space="preserve">and to </w:t>
      </w:r>
      <w:r>
        <w:rPr>
          <w:rFonts w:cs="Arial"/>
        </w:rPr>
        <w:t>gain</w:t>
      </w:r>
      <w:r w:rsidRPr="00F47E6D">
        <w:rPr>
          <w:rFonts w:cs="Arial"/>
        </w:rPr>
        <w:t xml:space="preserve"> the neighbour’s support.</w:t>
      </w:r>
      <w:r>
        <w:rPr>
          <w:rFonts w:cs="Arial"/>
        </w:rPr>
        <w:t xml:space="preserve"> Agreements may also be required in the event the neighbour is at a risk of experiencing impacts from the wind farm in excess of permit/standards limits.</w:t>
      </w:r>
      <w:r w:rsidRPr="00F47E6D">
        <w:rPr>
          <w:rFonts w:cs="Arial"/>
        </w:rPr>
        <w:t xml:space="preserve"> </w:t>
      </w:r>
    </w:p>
    <w:p w14:paraId="226D99B1" w14:textId="77777777" w:rsidR="00947ED2" w:rsidRPr="00F47E6D" w:rsidRDefault="00947ED2" w:rsidP="00947ED2">
      <w:pPr>
        <w:pStyle w:val="ListParagraph"/>
        <w:numPr>
          <w:ilvl w:val="0"/>
          <w:numId w:val="0"/>
        </w:numPr>
        <w:ind w:left="360"/>
        <w:rPr>
          <w:rFonts w:cs="Arial"/>
        </w:rPr>
      </w:pPr>
      <w:r w:rsidRPr="00F47E6D">
        <w:rPr>
          <w:rFonts w:cs="Arial"/>
        </w:rPr>
        <w:t xml:space="preserve">The content of a neighbour agreement is typically confidential to the parties, but may include one or more of the following:  </w:t>
      </w:r>
    </w:p>
    <w:p w14:paraId="61ADD345" w14:textId="77777777" w:rsidR="00947ED2" w:rsidRPr="00F47E6D" w:rsidRDefault="00947ED2" w:rsidP="00D35B01">
      <w:pPr>
        <w:pStyle w:val="ListParagraph"/>
        <w:numPr>
          <w:ilvl w:val="0"/>
          <w:numId w:val="9"/>
        </w:numPr>
        <w:rPr>
          <w:rFonts w:cs="Arial"/>
        </w:rPr>
      </w:pPr>
      <w:r w:rsidRPr="00F47E6D">
        <w:rPr>
          <w:rFonts w:cs="Arial"/>
        </w:rPr>
        <w:t>annual compensation payments to the neighbour (including payments during the development, construction and operating phases of the wind farm)</w:t>
      </w:r>
    </w:p>
    <w:p w14:paraId="648EF234" w14:textId="77777777" w:rsidR="00947ED2" w:rsidRDefault="00947ED2" w:rsidP="00D35B01">
      <w:pPr>
        <w:pStyle w:val="ListParagraph"/>
        <w:numPr>
          <w:ilvl w:val="0"/>
          <w:numId w:val="9"/>
        </w:numPr>
        <w:rPr>
          <w:rFonts w:cs="Arial"/>
        </w:rPr>
      </w:pPr>
      <w:r w:rsidRPr="00F47E6D">
        <w:rPr>
          <w:rFonts w:cs="Arial"/>
        </w:rPr>
        <w:t>a one-time payment at the commencement of the agreement</w:t>
      </w:r>
    </w:p>
    <w:p w14:paraId="5AEEA38F" w14:textId="77777777" w:rsidR="00947ED2" w:rsidRPr="00F47E6D" w:rsidRDefault="00947ED2" w:rsidP="00D35B01">
      <w:pPr>
        <w:pStyle w:val="ListParagraph"/>
        <w:numPr>
          <w:ilvl w:val="0"/>
          <w:numId w:val="9"/>
        </w:numPr>
        <w:rPr>
          <w:rFonts w:cs="Arial"/>
        </w:rPr>
      </w:pPr>
      <w:r>
        <w:rPr>
          <w:rFonts w:cs="Arial"/>
        </w:rPr>
        <w:t>reimbursement of reasonable legal fees incurred by the neighbour for the review of the agreement</w:t>
      </w:r>
    </w:p>
    <w:p w14:paraId="100589A8" w14:textId="77777777" w:rsidR="00947ED2" w:rsidRPr="00F47E6D" w:rsidRDefault="00947ED2" w:rsidP="00D35B01">
      <w:pPr>
        <w:pStyle w:val="ListParagraph"/>
        <w:numPr>
          <w:ilvl w:val="0"/>
          <w:numId w:val="9"/>
        </w:numPr>
        <w:rPr>
          <w:rFonts w:cs="Arial"/>
        </w:rPr>
      </w:pPr>
      <w:r w:rsidRPr="00F47E6D">
        <w:rPr>
          <w:rFonts w:cs="Arial"/>
        </w:rPr>
        <w:t>reimbursement for, or provision of, items such as visual screening, insulation, double-glazing, air-conditioning, energy efficiency programs, solar panels, electricity consumption</w:t>
      </w:r>
    </w:p>
    <w:p w14:paraId="3F7EAA4E" w14:textId="02D7B746" w:rsidR="00947ED2" w:rsidRDefault="00947ED2" w:rsidP="00D35B01">
      <w:pPr>
        <w:pStyle w:val="ListParagraph"/>
        <w:numPr>
          <w:ilvl w:val="0"/>
          <w:numId w:val="9"/>
        </w:numPr>
        <w:rPr>
          <w:rFonts w:cs="Arial"/>
        </w:rPr>
      </w:pPr>
      <w:r w:rsidRPr="00F47E6D">
        <w:rPr>
          <w:rFonts w:cs="Arial"/>
        </w:rPr>
        <w:t>an option for the neighbour to request that the developer acquire the</w:t>
      </w:r>
      <w:r>
        <w:rPr>
          <w:rFonts w:cs="Arial"/>
        </w:rPr>
        <w:t>ir (i.e. the</w:t>
      </w:r>
      <w:r w:rsidRPr="00F47E6D">
        <w:rPr>
          <w:rFonts w:cs="Arial"/>
        </w:rPr>
        <w:t xml:space="preserve"> neighbour’s</w:t>
      </w:r>
      <w:r>
        <w:rPr>
          <w:rFonts w:cs="Arial"/>
        </w:rPr>
        <w:t>)</w:t>
      </w:r>
      <w:r w:rsidRPr="00F47E6D">
        <w:rPr>
          <w:rFonts w:cs="Arial"/>
        </w:rPr>
        <w:t xml:space="preserve"> property</w:t>
      </w:r>
    </w:p>
    <w:p w14:paraId="22C7602F" w14:textId="289EAE28" w:rsidR="00106950" w:rsidRPr="00F47E6D" w:rsidRDefault="00106950" w:rsidP="00D35B01">
      <w:pPr>
        <w:pStyle w:val="ListParagraph"/>
        <w:numPr>
          <w:ilvl w:val="0"/>
          <w:numId w:val="9"/>
        </w:numPr>
        <w:rPr>
          <w:rFonts w:cs="Arial"/>
        </w:rPr>
      </w:pPr>
      <w:r>
        <w:rPr>
          <w:rFonts w:cs="Arial"/>
        </w:rPr>
        <w:t>ability for a neighbour to terminate an agreement without penalty.</w:t>
      </w:r>
    </w:p>
    <w:p w14:paraId="7958359E" w14:textId="675AB00F" w:rsidR="00947ED2" w:rsidRDefault="00947ED2" w:rsidP="00947ED2">
      <w:pPr>
        <w:pStyle w:val="ListParagraph"/>
        <w:numPr>
          <w:ilvl w:val="0"/>
          <w:numId w:val="0"/>
        </w:numPr>
        <w:ind w:left="360"/>
        <w:rPr>
          <w:rFonts w:cs="Arial"/>
        </w:rPr>
      </w:pPr>
      <w:r w:rsidRPr="00A80CD1">
        <w:rPr>
          <w:rFonts w:cs="Arial"/>
        </w:rPr>
        <w:t>There may be a requirement for neighbour agreements to be offered and established as a result of planning permit conditions (generally due to proximity within prescribed default setback distances), which may prescribe mandatory components to the agreement. However, many neighbour agreements are voluntary and it is up to the developer to propose and negotiate such an agreement with the neighbour.</w:t>
      </w:r>
      <w:r w:rsidR="008076B7">
        <w:rPr>
          <w:rFonts w:cs="Arial"/>
        </w:rPr>
        <w:t xml:space="preserve"> </w:t>
      </w:r>
      <w:r w:rsidR="008076B7" w:rsidRPr="00BC55CE">
        <w:rPr>
          <w:rFonts w:cs="Arial"/>
        </w:rPr>
        <w:t xml:space="preserve">Some wind farm developers have </w:t>
      </w:r>
      <w:r w:rsidR="00BC55CE">
        <w:rPr>
          <w:rFonts w:cs="Arial"/>
        </w:rPr>
        <w:t xml:space="preserve">voluntarily developed </w:t>
      </w:r>
      <w:r w:rsidR="008076B7" w:rsidRPr="00BC55CE">
        <w:rPr>
          <w:rFonts w:cs="Arial"/>
        </w:rPr>
        <w:t>neighbour agreement</w:t>
      </w:r>
      <w:r w:rsidR="00BC55CE">
        <w:rPr>
          <w:rFonts w:cs="Arial"/>
        </w:rPr>
        <w:t xml:space="preserve"> payments</w:t>
      </w:r>
      <w:r w:rsidR="008076B7" w:rsidRPr="00BC55CE">
        <w:rPr>
          <w:rFonts w:cs="Arial"/>
        </w:rPr>
        <w:t xml:space="preserve"> </w:t>
      </w:r>
      <w:r w:rsidR="008076B7" w:rsidRPr="00BC55CE">
        <w:rPr>
          <w:rFonts w:cs="Arial"/>
        </w:rPr>
        <w:lastRenderedPageBreak/>
        <w:t xml:space="preserve">based a formula of distance from a residence to </w:t>
      </w:r>
      <w:r w:rsidR="00BC55CE">
        <w:rPr>
          <w:rFonts w:cs="Arial"/>
        </w:rPr>
        <w:t>the</w:t>
      </w:r>
      <w:r w:rsidR="008076B7" w:rsidRPr="00BC55CE">
        <w:rPr>
          <w:rFonts w:cs="Arial"/>
        </w:rPr>
        <w:t xml:space="preserve"> turbine</w:t>
      </w:r>
      <w:r w:rsidR="00BC55CE">
        <w:rPr>
          <w:rFonts w:cs="Arial"/>
        </w:rPr>
        <w:t>(s)</w:t>
      </w:r>
      <w:r w:rsidR="008076B7" w:rsidRPr="00BC55CE">
        <w:rPr>
          <w:rFonts w:cs="Arial"/>
        </w:rPr>
        <w:t xml:space="preserve"> </w:t>
      </w:r>
      <w:r w:rsidR="00BC55CE">
        <w:rPr>
          <w:rFonts w:cs="Arial"/>
        </w:rPr>
        <w:t xml:space="preserve">and the number of turbines located within that distance.  </w:t>
      </w:r>
    </w:p>
    <w:p w14:paraId="480DF2F2" w14:textId="7005EDA7" w:rsidR="00947ED2" w:rsidRPr="00F47E6D" w:rsidRDefault="00947ED2" w:rsidP="00947ED2">
      <w:pPr>
        <w:pStyle w:val="ListParagraph"/>
        <w:numPr>
          <w:ilvl w:val="0"/>
          <w:numId w:val="0"/>
        </w:numPr>
        <w:ind w:left="360"/>
        <w:rPr>
          <w:rFonts w:cs="Arial"/>
        </w:rPr>
      </w:pPr>
      <w:r w:rsidRPr="00F47E6D">
        <w:rPr>
          <w:rFonts w:cs="Arial"/>
        </w:rPr>
        <w:t xml:space="preserve">Screening of the visual impact of the wind farm by planting trees is often proposed by developers to wind farm neighbours and may be a mandatory requirement of the permit. A common issue is the </w:t>
      </w:r>
      <w:r w:rsidR="00106950">
        <w:rPr>
          <w:rFonts w:cs="Arial"/>
        </w:rPr>
        <w:t xml:space="preserve">length of </w:t>
      </w:r>
      <w:r w:rsidRPr="00F47E6D">
        <w:rPr>
          <w:rFonts w:cs="Arial"/>
        </w:rPr>
        <w:t xml:space="preserve">time </w:t>
      </w:r>
      <w:r w:rsidR="00106950">
        <w:rPr>
          <w:rFonts w:cs="Arial"/>
        </w:rPr>
        <w:t>for a newly planted</w:t>
      </w:r>
      <w:r w:rsidRPr="00F47E6D">
        <w:rPr>
          <w:rFonts w:cs="Arial"/>
        </w:rPr>
        <w:t xml:space="preserve"> tree to grow to </w:t>
      </w:r>
      <w:r w:rsidR="00106950">
        <w:rPr>
          <w:rFonts w:cs="Arial"/>
        </w:rPr>
        <w:t xml:space="preserve">provide </w:t>
      </w:r>
      <w:r w:rsidRPr="00F47E6D">
        <w:rPr>
          <w:rFonts w:cs="Arial"/>
        </w:rPr>
        <w:t>sufficient screen</w:t>
      </w:r>
      <w:r w:rsidR="00106950">
        <w:rPr>
          <w:rFonts w:cs="Arial"/>
        </w:rPr>
        <w:t>ing</w:t>
      </w:r>
      <w:r w:rsidRPr="00F47E6D">
        <w:rPr>
          <w:rFonts w:cs="Arial"/>
        </w:rPr>
        <w:t>, bringing into question the effectiveness of such mitigation.</w:t>
      </w:r>
      <w:r>
        <w:rPr>
          <w:rFonts w:cs="Arial"/>
        </w:rPr>
        <w:t xml:space="preserve"> It should be noted that </w:t>
      </w:r>
      <w:r w:rsidRPr="00951E59">
        <w:rPr>
          <w:rFonts w:cs="Arial"/>
        </w:rPr>
        <w:t xml:space="preserve">Appendix </w:t>
      </w:r>
      <w:r>
        <w:rPr>
          <w:rFonts w:cs="Arial"/>
        </w:rPr>
        <w:t>2</w:t>
      </w:r>
      <w:r w:rsidRPr="00951E59">
        <w:rPr>
          <w:rFonts w:cs="Arial"/>
        </w:rPr>
        <w:t xml:space="preserve"> of the New South Wales </w:t>
      </w:r>
      <w:r>
        <w:rPr>
          <w:rFonts w:cs="Arial"/>
        </w:rPr>
        <w:t xml:space="preserve">Government’s </w:t>
      </w:r>
      <w:r w:rsidRPr="00951E59">
        <w:rPr>
          <w:rFonts w:cs="Arial"/>
          <w:i/>
        </w:rPr>
        <w:t>Visual Assessment Bulletin</w:t>
      </w:r>
      <w:r w:rsidRPr="00951E59">
        <w:rPr>
          <w:rFonts w:cs="Arial"/>
        </w:rPr>
        <w:t xml:space="preserve"> </w:t>
      </w:r>
      <w:r>
        <w:rPr>
          <w:rFonts w:cs="Arial"/>
        </w:rPr>
        <w:t>(</w:t>
      </w:r>
      <w:r w:rsidRPr="00F47E6D">
        <w:rPr>
          <w:rFonts w:cs="Arial"/>
        </w:rPr>
        <w:t>NSW Department of Planning</w:t>
      </w:r>
      <w:r>
        <w:rPr>
          <w:rFonts w:cs="Arial"/>
        </w:rPr>
        <w:t xml:space="preserve">, 2016) </w:t>
      </w:r>
      <w:r w:rsidRPr="00951E59">
        <w:rPr>
          <w:rFonts w:cs="Arial"/>
        </w:rPr>
        <w:t>outlines a range of</w:t>
      </w:r>
      <w:r>
        <w:rPr>
          <w:rFonts w:cs="Arial"/>
        </w:rPr>
        <w:t xml:space="preserve"> potential mitigation measures that may be applied.</w:t>
      </w:r>
    </w:p>
    <w:p w14:paraId="5A2E1431" w14:textId="0E2FB584" w:rsidR="00947ED2" w:rsidRDefault="00947ED2" w:rsidP="00947ED2">
      <w:pPr>
        <w:pStyle w:val="ListParagraph"/>
        <w:numPr>
          <w:ilvl w:val="0"/>
          <w:numId w:val="0"/>
        </w:numPr>
        <w:ind w:left="360"/>
        <w:rPr>
          <w:rFonts w:cs="Arial"/>
        </w:rPr>
      </w:pPr>
      <w:r w:rsidRPr="00F47E6D">
        <w:rPr>
          <w:rFonts w:cs="Arial"/>
        </w:rPr>
        <w:t xml:space="preserve">The </w:t>
      </w:r>
      <w:r>
        <w:rPr>
          <w:rFonts w:cs="Arial"/>
        </w:rPr>
        <w:t>O</w:t>
      </w:r>
      <w:r w:rsidRPr="00F47E6D">
        <w:rPr>
          <w:rFonts w:cs="Arial"/>
        </w:rPr>
        <w:t>ffice has observed some proposed neighbour agreements containing clauses that may not be fair and reasonable to the neighbour. Such clauses observed include the right for the wind farm not to conform to the permit conditions that would normally apply to the neighbour (including noise levels and shadow flicker), the ability for the wind farm to terminate the agreement while the wind farm is still operating without cause and/or with questionable cause as well as clauses that could be construed to restrict the neighbou</w:t>
      </w:r>
      <w:r>
        <w:rPr>
          <w:rFonts w:cs="Arial"/>
        </w:rPr>
        <w:t>r’s right to make a complaint.</w:t>
      </w:r>
    </w:p>
    <w:p w14:paraId="34C97351" w14:textId="3AED9E9E" w:rsidR="00947ED2" w:rsidRPr="00F47E6D" w:rsidRDefault="00947ED2" w:rsidP="00947ED2">
      <w:pPr>
        <w:pStyle w:val="ListParagraph"/>
        <w:numPr>
          <w:ilvl w:val="0"/>
          <w:numId w:val="0"/>
        </w:numPr>
        <w:ind w:left="360"/>
        <w:rPr>
          <w:rFonts w:cs="Arial"/>
        </w:rPr>
      </w:pPr>
      <w:r>
        <w:rPr>
          <w:rFonts w:cs="Arial"/>
        </w:rPr>
        <w:t xml:space="preserve">Further, some neighbour agreements seek to impose stringent planning restrictions on the neighbour for any further development or construction on the neighbour’s property. Our view is that </w:t>
      </w:r>
      <w:r w:rsidR="00850D8D">
        <w:rPr>
          <w:rFonts w:cs="Arial"/>
        </w:rPr>
        <w:t xml:space="preserve">these clauses are unnecessary and </w:t>
      </w:r>
      <w:r>
        <w:rPr>
          <w:rFonts w:cs="Arial"/>
        </w:rPr>
        <w:t xml:space="preserve">the neighbour should simply </w:t>
      </w:r>
      <w:r w:rsidR="00BC55CE">
        <w:rPr>
          <w:rFonts w:cs="Arial"/>
        </w:rPr>
        <w:t xml:space="preserve">be </w:t>
      </w:r>
      <w:r>
        <w:rPr>
          <w:rFonts w:cs="Arial"/>
        </w:rPr>
        <w:t>required to comply with the planning rules and laws of the jurisdiction.</w:t>
      </w:r>
    </w:p>
    <w:p w14:paraId="2F59CA43" w14:textId="1A6F602F" w:rsidR="00947ED2" w:rsidRDefault="00947ED2" w:rsidP="00947ED2">
      <w:pPr>
        <w:pStyle w:val="ListParagraph"/>
        <w:numPr>
          <w:ilvl w:val="0"/>
          <w:numId w:val="0"/>
        </w:numPr>
        <w:ind w:left="360"/>
        <w:rPr>
          <w:rFonts w:cs="Arial"/>
        </w:rPr>
      </w:pPr>
      <w:r w:rsidRPr="00F47E6D">
        <w:rPr>
          <w:rFonts w:cs="Arial"/>
        </w:rPr>
        <w:t xml:space="preserve">Inclusion of </w:t>
      </w:r>
      <w:r w:rsidR="00BC55CE">
        <w:rPr>
          <w:rFonts w:cs="Arial"/>
        </w:rPr>
        <w:t>perceived unfair</w:t>
      </w:r>
      <w:r w:rsidRPr="00F47E6D">
        <w:rPr>
          <w:rFonts w:cs="Arial"/>
        </w:rPr>
        <w:t xml:space="preserve"> clauses </w:t>
      </w:r>
      <w:r>
        <w:rPr>
          <w:rFonts w:cs="Arial"/>
        </w:rPr>
        <w:t xml:space="preserve">by the developer </w:t>
      </w:r>
      <w:r w:rsidRPr="00F47E6D">
        <w:rPr>
          <w:rFonts w:cs="Arial"/>
        </w:rPr>
        <w:t>can significantly impair the ability to negotiate a fair and reasonable agreement and create distrust and anxiety amongst neighbours towards the wind farm</w:t>
      </w:r>
      <w:r w:rsidR="00BC55CE">
        <w:rPr>
          <w:rFonts w:cs="Arial"/>
        </w:rPr>
        <w:t>’s proponent</w:t>
      </w:r>
      <w:r w:rsidRPr="00F47E6D">
        <w:rPr>
          <w:rFonts w:cs="Arial"/>
        </w:rPr>
        <w:t>.</w:t>
      </w:r>
    </w:p>
    <w:p w14:paraId="22B12C08" w14:textId="77777777" w:rsidR="00947ED2" w:rsidRDefault="00947ED2" w:rsidP="00947ED2">
      <w:pPr>
        <w:pStyle w:val="ListParagraph"/>
        <w:numPr>
          <w:ilvl w:val="0"/>
          <w:numId w:val="0"/>
        </w:numPr>
        <w:ind w:left="360"/>
        <w:rPr>
          <w:rFonts w:cs="Arial"/>
        </w:rPr>
      </w:pPr>
      <w:r>
        <w:rPr>
          <w:rFonts w:cs="Arial"/>
        </w:rPr>
        <w:t>Similar to landowner agreements, all parties may benefit from a standard template agreement for ‘neighbour agreements’ that is established and maintained by an appropriate body and available for use by industry.</w:t>
      </w:r>
    </w:p>
    <w:p w14:paraId="01F2F186" w14:textId="77777777" w:rsidR="00947ED2" w:rsidRPr="00F47E6D" w:rsidRDefault="00947ED2" w:rsidP="00D35B01">
      <w:pPr>
        <w:pStyle w:val="ListParagraph"/>
        <w:numPr>
          <w:ilvl w:val="1"/>
          <w:numId w:val="8"/>
        </w:numPr>
        <w:rPr>
          <w:rFonts w:cs="Arial"/>
          <w:b/>
        </w:rPr>
      </w:pPr>
      <w:r w:rsidRPr="00F47E6D">
        <w:rPr>
          <w:rFonts w:cs="Arial"/>
          <w:b/>
        </w:rPr>
        <w:t>Recommendations</w:t>
      </w:r>
    </w:p>
    <w:p w14:paraId="60284126" w14:textId="50DE74E4" w:rsidR="00947ED2" w:rsidRPr="00F47E6D" w:rsidRDefault="00947ED2" w:rsidP="00D35B01">
      <w:pPr>
        <w:pStyle w:val="ListParagraph"/>
        <w:numPr>
          <w:ilvl w:val="2"/>
          <w:numId w:val="8"/>
        </w:numPr>
        <w:ind w:left="1400" w:hanging="680"/>
        <w:rPr>
          <w:rFonts w:cs="Arial"/>
        </w:rPr>
      </w:pPr>
      <w:r w:rsidRPr="00F47E6D">
        <w:rPr>
          <w:rFonts w:cs="Arial"/>
        </w:rPr>
        <w:t>Developers of wind energy projects should</w:t>
      </w:r>
      <w:r>
        <w:rPr>
          <w:rFonts w:cs="Arial"/>
        </w:rPr>
        <w:t>, where practical,</w:t>
      </w:r>
      <w:r w:rsidRPr="00F47E6D">
        <w:rPr>
          <w:rFonts w:cs="Arial"/>
        </w:rPr>
        <w:t xml:space="preserve"> proactively identify all potential neighbours at the commencement of the development activity and implement an effective, ongoing consultation program with all </w:t>
      </w:r>
      <w:r>
        <w:rPr>
          <w:rFonts w:cs="Arial"/>
        </w:rPr>
        <w:t xml:space="preserve">contactable </w:t>
      </w:r>
      <w:r w:rsidRPr="00F47E6D">
        <w:rPr>
          <w:rFonts w:cs="Arial"/>
        </w:rPr>
        <w:t>neighbours throughout the project</w:t>
      </w:r>
      <w:r>
        <w:rPr>
          <w:rFonts w:cs="Arial"/>
        </w:rPr>
        <w:t>’s development</w:t>
      </w:r>
      <w:r w:rsidRPr="00F47E6D">
        <w:rPr>
          <w:rFonts w:cs="Arial"/>
        </w:rPr>
        <w:t xml:space="preserve">. While it may vary by project and geography, neighbours </w:t>
      </w:r>
      <w:r>
        <w:rPr>
          <w:rFonts w:cs="Arial"/>
        </w:rPr>
        <w:t xml:space="preserve">affected </w:t>
      </w:r>
      <w:r w:rsidRPr="00F47E6D">
        <w:rPr>
          <w:rFonts w:cs="Arial"/>
        </w:rPr>
        <w:t xml:space="preserve">may include residents that live in a proximity </w:t>
      </w:r>
      <w:r>
        <w:rPr>
          <w:rFonts w:cs="Arial"/>
        </w:rPr>
        <w:t xml:space="preserve">range </w:t>
      </w:r>
      <w:r w:rsidRPr="00F47E6D">
        <w:rPr>
          <w:rFonts w:cs="Arial"/>
        </w:rPr>
        <w:t>o</w:t>
      </w:r>
      <w:r w:rsidRPr="003F5FEA">
        <w:rPr>
          <w:rFonts w:cs="Arial"/>
        </w:rPr>
        <w:t>f 0.0 km to 5</w:t>
      </w:r>
      <w:r>
        <w:rPr>
          <w:rFonts w:cs="Arial"/>
        </w:rPr>
        <w:t>.0</w:t>
      </w:r>
      <w:r w:rsidRPr="003F5FEA">
        <w:rPr>
          <w:rFonts w:cs="Arial"/>
        </w:rPr>
        <w:t xml:space="preserve"> km</w:t>
      </w:r>
      <w:r w:rsidRPr="00F47E6D">
        <w:rPr>
          <w:rFonts w:cs="Arial"/>
        </w:rPr>
        <w:t xml:space="preserve"> from potential turbine locations as well as residents in close proximity to other wind farm related infrastructure</w:t>
      </w:r>
      <w:r>
        <w:rPr>
          <w:rFonts w:cs="Arial"/>
        </w:rPr>
        <w:t>, such as power transmission or supply infrastructure</w:t>
      </w:r>
      <w:r w:rsidRPr="00F47E6D">
        <w:rPr>
          <w:rFonts w:cs="Arial"/>
        </w:rPr>
        <w:t>.</w:t>
      </w:r>
      <w:r>
        <w:rPr>
          <w:rFonts w:cs="Arial"/>
        </w:rPr>
        <w:t xml:space="preserve"> </w:t>
      </w:r>
      <w:r w:rsidRPr="00CE0C54">
        <w:rPr>
          <w:rFonts w:cs="Arial"/>
        </w:rPr>
        <w:t xml:space="preserve">This </w:t>
      </w:r>
      <w:r>
        <w:rPr>
          <w:rFonts w:cs="Arial"/>
        </w:rPr>
        <w:t xml:space="preserve">indicative distance </w:t>
      </w:r>
      <w:r w:rsidRPr="00CE0C54">
        <w:rPr>
          <w:rFonts w:cs="Arial"/>
        </w:rPr>
        <w:t xml:space="preserve">range </w:t>
      </w:r>
      <w:r>
        <w:rPr>
          <w:rFonts w:cs="Arial"/>
        </w:rPr>
        <w:t xml:space="preserve">for consultation </w:t>
      </w:r>
      <w:r w:rsidRPr="00CE0C54">
        <w:rPr>
          <w:rFonts w:cs="Arial"/>
        </w:rPr>
        <w:t xml:space="preserve">may </w:t>
      </w:r>
      <w:r>
        <w:rPr>
          <w:rFonts w:cs="Arial"/>
        </w:rPr>
        <w:t xml:space="preserve">need </w:t>
      </w:r>
      <w:r w:rsidRPr="00CE0C54">
        <w:rPr>
          <w:rFonts w:cs="Arial"/>
        </w:rPr>
        <w:t>be greater</w:t>
      </w:r>
      <w:r>
        <w:rPr>
          <w:rFonts w:cs="Arial"/>
        </w:rPr>
        <w:t xml:space="preserve"> in situations where, for instance,</w:t>
      </w:r>
      <w:r w:rsidRPr="00CE0C54">
        <w:rPr>
          <w:rFonts w:cs="Arial"/>
        </w:rPr>
        <w:t xml:space="preserve"> turbines are</w:t>
      </w:r>
      <w:r w:rsidR="00850D8D">
        <w:rPr>
          <w:rFonts w:cs="Arial"/>
        </w:rPr>
        <w:t xml:space="preserve"> proposed to be</w:t>
      </w:r>
      <w:r w:rsidRPr="00CE0C54">
        <w:rPr>
          <w:rFonts w:cs="Arial"/>
        </w:rPr>
        <w:t xml:space="preserve"> erected on a ridge.</w:t>
      </w:r>
    </w:p>
    <w:p w14:paraId="035833BD" w14:textId="77777777" w:rsidR="00947ED2" w:rsidRPr="00F47E6D" w:rsidRDefault="00947ED2" w:rsidP="00D35B01">
      <w:pPr>
        <w:pStyle w:val="ListParagraph"/>
        <w:numPr>
          <w:ilvl w:val="2"/>
          <w:numId w:val="8"/>
        </w:numPr>
        <w:ind w:left="1400" w:hanging="680"/>
        <w:rPr>
          <w:rFonts w:cs="Arial"/>
        </w:rPr>
      </w:pPr>
      <w:r w:rsidRPr="00F47E6D">
        <w:rPr>
          <w:rFonts w:cs="Arial"/>
        </w:rPr>
        <w:t xml:space="preserve">Key stakeholders to a developing wind energy project (for example, </w:t>
      </w:r>
      <w:r>
        <w:rPr>
          <w:rFonts w:cs="Arial"/>
        </w:rPr>
        <w:t xml:space="preserve">project buyers, </w:t>
      </w:r>
      <w:r w:rsidRPr="00F47E6D">
        <w:rPr>
          <w:rFonts w:cs="Arial"/>
        </w:rPr>
        <w:t xml:space="preserve">planning authorities, investors, </w:t>
      </w:r>
      <w:r>
        <w:rPr>
          <w:rFonts w:cs="Arial"/>
        </w:rPr>
        <w:t xml:space="preserve">debt providers, </w:t>
      </w:r>
      <w:r w:rsidRPr="00F47E6D">
        <w:rPr>
          <w:rFonts w:cs="Arial"/>
        </w:rPr>
        <w:t xml:space="preserve">regulators) should seek and </w:t>
      </w:r>
      <w:r>
        <w:rPr>
          <w:rFonts w:cs="Arial"/>
        </w:rPr>
        <w:t xml:space="preserve">consider </w:t>
      </w:r>
      <w:r w:rsidRPr="00F47E6D">
        <w:rPr>
          <w:rFonts w:cs="Arial"/>
        </w:rPr>
        <w:t>evidence of neighbour identification and effective neighbour consultations as part of any due diligence and approval criteria.</w:t>
      </w:r>
    </w:p>
    <w:p w14:paraId="69C59779" w14:textId="5E304CE2" w:rsidR="00947ED2" w:rsidRPr="00F47E6D" w:rsidRDefault="00947ED2" w:rsidP="00D35B01">
      <w:pPr>
        <w:pStyle w:val="ListParagraph"/>
        <w:numPr>
          <w:ilvl w:val="2"/>
          <w:numId w:val="8"/>
        </w:numPr>
        <w:ind w:left="1400" w:hanging="680"/>
        <w:rPr>
          <w:rFonts w:cs="Arial"/>
        </w:rPr>
      </w:pPr>
      <w:r w:rsidRPr="00F47E6D">
        <w:rPr>
          <w:rFonts w:cs="Arial"/>
        </w:rPr>
        <w:t xml:space="preserve">Developers should consider the merits and use of appropriate neighbour agreements as a </w:t>
      </w:r>
      <w:r>
        <w:rPr>
          <w:rFonts w:cs="Arial"/>
        </w:rPr>
        <w:t xml:space="preserve">potential </w:t>
      </w:r>
      <w:r w:rsidRPr="00F47E6D">
        <w:rPr>
          <w:rFonts w:cs="Arial"/>
        </w:rPr>
        <w:t xml:space="preserve">component of its </w:t>
      </w:r>
      <w:r>
        <w:rPr>
          <w:rFonts w:cs="Arial"/>
        </w:rPr>
        <w:t xml:space="preserve">overall </w:t>
      </w:r>
      <w:r w:rsidRPr="00F47E6D">
        <w:rPr>
          <w:rFonts w:cs="Arial"/>
        </w:rPr>
        <w:t xml:space="preserve">neighbour </w:t>
      </w:r>
      <w:r>
        <w:rPr>
          <w:rFonts w:cs="Arial"/>
        </w:rPr>
        <w:t xml:space="preserve">and community </w:t>
      </w:r>
      <w:r w:rsidRPr="00F47E6D">
        <w:rPr>
          <w:rFonts w:cs="Arial"/>
        </w:rPr>
        <w:t xml:space="preserve">consultations and project strategy. </w:t>
      </w:r>
      <w:r>
        <w:rPr>
          <w:rFonts w:cs="Arial"/>
        </w:rPr>
        <w:t>If utilised, n</w:t>
      </w:r>
      <w:r w:rsidRPr="00F47E6D">
        <w:rPr>
          <w:rFonts w:cs="Arial"/>
        </w:rPr>
        <w:t xml:space="preserve">eighbour agreements should be </w:t>
      </w:r>
      <w:r>
        <w:rPr>
          <w:rFonts w:cs="Arial"/>
        </w:rPr>
        <w:t xml:space="preserve">negotiable, </w:t>
      </w:r>
      <w:r w:rsidRPr="00F47E6D">
        <w:rPr>
          <w:rFonts w:cs="Arial"/>
        </w:rPr>
        <w:t>fair and reasonable, written in plain English and the neighbour should have access to and obtain appropriate legal and financial advice before entering into any agreement. Agreements should not restrict the neighbour from being able to raise issues and concerns about the wind farm</w:t>
      </w:r>
      <w:r>
        <w:rPr>
          <w:rFonts w:cs="Arial"/>
        </w:rPr>
        <w:t>, including subsequent proposed changes to the wind farm’s design,</w:t>
      </w:r>
      <w:r w:rsidRPr="00F47E6D">
        <w:rPr>
          <w:rFonts w:cs="Arial"/>
        </w:rPr>
        <w:t xml:space="preserve"> make complaints about the wind </w:t>
      </w:r>
      <w:r w:rsidRPr="00F47E6D">
        <w:rPr>
          <w:rFonts w:cs="Arial"/>
        </w:rPr>
        <w:lastRenderedPageBreak/>
        <w:t xml:space="preserve">farm nor should they subject the neighbour to conditions that exceed </w:t>
      </w:r>
      <w:r>
        <w:rPr>
          <w:rFonts w:cs="Arial"/>
        </w:rPr>
        <w:t xml:space="preserve">normal </w:t>
      </w:r>
      <w:r w:rsidRPr="00F47E6D">
        <w:rPr>
          <w:rFonts w:cs="Arial"/>
        </w:rPr>
        <w:t>permit requirements. There may be existing, operating wind farms where a retrospective neighbour agreement should be considered.</w:t>
      </w:r>
      <w:r>
        <w:rPr>
          <w:rFonts w:cs="Arial"/>
        </w:rPr>
        <w:t xml:space="preserve"> Developers may of course opt for a broader community support model that benefits a wider group of community members, including neighbours, that excludes specific neighbour agreements.</w:t>
      </w:r>
    </w:p>
    <w:p w14:paraId="5C50F78A" w14:textId="77777777" w:rsidR="00947ED2" w:rsidRDefault="00947ED2" w:rsidP="00D35B01">
      <w:pPr>
        <w:pStyle w:val="ListParagraph"/>
        <w:numPr>
          <w:ilvl w:val="2"/>
          <w:numId w:val="8"/>
        </w:numPr>
        <w:ind w:left="1400" w:hanging="680"/>
        <w:rPr>
          <w:rFonts w:cs="Arial"/>
        </w:rPr>
      </w:pPr>
      <w:r w:rsidRPr="00F47E6D">
        <w:rPr>
          <w:rFonts w:cs="Arial"/>
        </w:rPr>
        <w:t xml:space="preserve">Screening solutions proposed by developers should be realistic and effective. If trees are proposed, trees should be </w:t>
      </w:r>
      <w:r>
        <w:rPr>
          <w:rFonts w:cs="Arial"/>
        </w:rPr>
        <w:t xml:space="preserve">planted in a timely fashion and </w:t>
      </w:r>
      <w:r w:rsidRPr="00F47E6D">
        <w:rPr>
          <w:rFonts w:cs="Arial"/>
        </w:rPr>
        <w:t xml:space="preserve">well maintained so to provide </w:t>
      </w:r>
      <w:r>
        <w:rPr>
          <w:rFonts w:cs="Arial"/>
        </w:rPr>
        <w:t xml:space="preserve">effective </w:t>
      </w:r>
      <w:r w:rsidRPr="00F47E6D">
        <w:rPr>
          <w:rFonts w:cs="Arial"/>
        </w:rPr>
        <w:t>visual screening within a reasonable timeframe. Other screening solutions, such as structures, should also be considered when proposing and negotiating a visual screening agreement.</w:t>
      </w:r>
    </w:p>
    <w:p w14:paraId="29354944" w14:textId="0FABE0A3" w:rsidR="00947ED2" w:rsidRDefault="00947ED2" w:rsidP="00D35B01">
      <w:pPr>
        <w:pStyle w:val="ListParagraph"/>
        <w:numPr>
          <w:ilvl w:val="2"/>
          <w:numId w:val="8"/>
        </w:numPr>
        <w:ind w:left="1400" w:hanging="680"/>
        <w:rPr>
          <w:rFonts w:cs="Arial"/>
        </w:rPr>
      </w:pPr>
      <w:r>
        <w:rPr>
          <w:rFonts w:cs="Arial"/>
        </w:rPr>
        <w:t xml:space="preserve">The developer should recognise that some neighbours may have been potential host landowners for the initial project design and </w:t>
      </w:r>
      <w:r w:rsidR="002C7B40">
        <w:rPr>
          <w:rFonts w:cs="Arial"/>
        </w:rPr>
        <w:t xml:space="preserve">should </w:t>
      </w:r>
      <w:r>
        <w:rPr>
          <w:rFonts w:cs="Arial"/>
        </w:rPr>
        <w:t xml:space="preserve">take the time to understand the </w:t>
      </w:r>
      <w:r w:rsidR="002C7B40">
        <w:rPr>
          <w:rFonts w:cs="Arial"/>
        </w:rPr>
        <w:t>neighbour’s history of involvement with the project</w:t>
      </w:r>
      <w:r>
        <w:rPr>
          <w:rFonts w:cs="Arial"/>
        </w:rPr>
        <w:t>, especially if the developer has purchased the project from the initial developer.</w:t>
      </w:r>
    </w:p>
    <w:p w14:paraId="3E408959" w14:textId="3539AABB" w:rsidR="00075990" w:rsidRDefault="00075990" w:rsidP="00D35B01">
      <w:pPr>
        <w:pStyle w:val="ListParagraph"/>
        <w:numPr>
          <w:ilvl w:val="2"/>
          <w:numId w:val="8"/>
        </w:numPr>
        <w:ind w:left="1400" w:hanging="680"/>
        <w:rPr>
          <w:rFonts w:cs="Arial"/>
        </w:rPr>
      </w:pPr>
      <w:r w:rsidRPr="00075990">
        <w:rPr>
          <w:rFonts w:cs="Arial"/>
        </w:rPr>
        <w:t>Neighbours should be appropriately represented in project-related committees, such as Community Consultative Committees</w:t>
      </w:r>
      <w:r w:rsidR="00FF380B">
        <w:rPr>
          <w:rFonts w:cs="Arial"/>
        </w:rPr>
        <w:t xml:space="preserve"> and</w:t>
      </w:r>
      <w:r w:rsidRPr="00075990">
        <w:rPr>
          <w:rFonts w:cs="Arial"/>
        </w:rPr>
        <w:t xml:space="preserve"> Community Engagement Committees, to help ensure that neighbours have the opportunity</w:t>
      </w:r>
      <w:r w:rsidR="00FF380B">
        <w:rPr>
          <w:rFonts w:cs="Arial"/>
        </w:rPr>
        <w:t xml:space="preserve"> to be </w:t>
      </w:r>
      <w:r w:rsidRPr="00075990">
        <w:rPr>
          <w:rFonts w:cs="Arial"/>
        </w:rPr>
        <w:t xml:space="preserve">engaged with </w:t>
      </w:r>
      <w:r w:rsidR="00FF380B">
        <w:rPr>
          <w:rFonts w:cs="Arial"/>
        </w:rPr>
        <w:t xml:space="preserve">many of the </w:t>
      </w:r>
      <w:r w:rsidRPr="00075990">
        <w:rPr>
          <w:rFonts w:cs="Arial"/>
        </w:rPr>
        <w:t xml:space="preserve">various aspects of the project </w:t>
      </w:r>
      <w:r w:rsidR="00FF380B">
        <w:rPr>
          <w:rFonts w:cs="Arial"/>
        </w:rPr>
        <w:t>across t</w:t>
      </w:r>
      <w:r w:rsidRPr="00075990">
        <w:rPr>
          <w:rFonts w:cs="Arial"/>
        </w:rPr>
        <w:t>he community.</w:t>
      </w:r>
    </w:p>
    <w:p w14:paraId="34CF6392" w14:textId="77777777" w:rsidR="00947ED2" w:rsidRPr="00F47E6D" w:rsidRDefault="00947ED2" w:rsidP="00D35B01">
      <w:pPr>
        <w:pStyle w:val="ListParagraph"/>
        <w:numPr>
          <w:ilvl w:val="0"/>
          <w:numId w:val="8"/>
        </w:numPr>
        <w:rPr>
          <w:rFonts w:cs="Arial"/>
          <w:b/>
        </w:rPr>
      </w:pPr>
      <w:r w:rsidRPr="00F47E6D">
        <w:rPr>
          <w:rFonts w:cs="Arial"/>
          <w:b/>
        </w:rPr>
        <w:t>Community Engagement</w:t>
      </w:r>
    </w:p>
    <w:p w14:paraId="132BB5DA" w14:textId="77777777" w:rsidR="00947ED2" w:rsidRPr="00F47E6D" w:rsidRDefault="00947ED2" w:rsidP="00D35B01">
      <w:pPr>
        <w:pStyle w:val="ListParagraph"/>
        <w:numPr>
          <w:ilvl w:val="1"/>
          <w:numId w:val="8"/>
        </w:numPr>
        <w:rPr>
          <w:rFonts w:cs="Arial"/>
          <w:b/>
        </w:rPr>
      </w:pPr>
      <w:r w:rsidRPr="00F47E6D">
        <w:rPr>
          <w:rFonts w:cs="Arial"/>
          <w:b/>
        </w:rPr>
        <w:t>Observations</w:t>
      </w:r>
    </w:p>
    <w:p w14:paraId="0EEC2F8F" w14:textId="76AD0D4D" w:rsidR="00947ED2" w:rsidRPr="00F47E6D" w:rsidRDefault="00947ED2" w:rsidP="00947ED2">
      <w:pPr>
        <w:pStyle w:val="ListParagraph"/>
        <w:numPr>
          <w:ilvl w:val="0"/>
          <w:numId w:val="0"/>
        </w:numPr>
        <w:ind w:left="360"/>
        <w:rPr>
          <w:rFonts w:cs="Arial"/>
        </w:rPr>
      </w:pPr>
      <w:r w:rsidRPr="00F47E6D">
        <w:rPr>
          <w:rFonts w:cs="Arial"/>
        </w:rPr>
        <w:t>Effective community consultation and engagement is essential for wind farm projects to gain widespread support and earn the ‘social license’ to operate within the community.</w:t>
      </w:r>
      <w:r>
        <w:rPr>
          <w:rFonts w:cs="Arial"/>
        </w:rPr>
        <w:t xml:space="preserve"> To be effective in community engagement, it is vital to actually </w:t>
      </w:r>
      <w:r w:rsidR="00850D8D">
        <w:rPr>
          <w:rFonts w:cs="Arial"/>
        </w:rPr>
        <w:t>‘</w:t>
      </w:r>
      <w:r>
        <w:rPr>
          <w:rFonts w:cs="Arial"/>
        </w:rPr>
        <w:t>engage the community</w:t>
      </w:r>
      <w:r w:rsidR="00850D8D">
        <w:rPr>
          <w:rFonts w:cs="Arial"/>
        </w:rPr>
        <w:t>’</w:t>
      </w:r>
      <w:r>
        <w:rPr>
          <w:rFonts w:cs="Arial"/>
        </w:rPr>
        <w:t xml:space="preserve"> and involve the community wherever possible in the design and execution of programs related to the wind farm.</w:t>
      </w:r>
    </w:p>
    <w:p w14:paraId="15E93FBE" w14:textId="046BD23C" w:rsidR="00947ED2" w:rsidRPr="00F47E6D" w:rsidRDefault="00947ED2" w:rsidP="00947ED2">
      <w:pPr>
        <w:pStyle w:val="ListParagraph"/>
        <w:numPr>
          <w:ilvl w:val="0"/>
          <w:numId w:val="0"/>
        </w:numPr>
        <w:ind w:left="360"/>
        <w:rPr>
          <w:rFonts w:cs="Arial"/>
        </w:rPr>
      </w:pPr>
      <w:r w:rsidRPr="00F47E6D">
        <w:rPr>
          <w:rFonts w:cs="Arial"/>
        </w:rPr>
        <w:t xml:space="preserve">The </w:t>
      </w:r>
      <w:r w:rsidR="00A5308F">
        <w:rPr>
          <w:rFonts w:cs="Arial"/>
        </w:rPr>
        <w:t xml:space="preserve">level </w:t>
      </w:r>
      <w:r w:rsidRPr="00F47E6D">
        <w:rPr>
          <w:rFonts w:cs="Arial"/>
        </w:rPr>
        <w:t xml:space="preserve">of community engagement varies widely across the wind farm projects observed to date. A key observation is that initial project developers that intend to </w:t>
      </w:r>
      <w:r>
        <w:rPr>
          <w:rFonts w:cs="Arial"/>
        </w:rPr>
        <w:t>‘</w:t>
      </w:r>
      <w:r w:rsidRPr="00F47E6D">
        <w:rPr>
          <w:rFonts w:cs="Arial"/>
        </w:rPr>
        <w:t>on-sell</w:t>
      </w:r>
      <w:r>
        <w:rPr>
          <w:rFonts w:cs="Arial"/>
        </w:rPr>
        <w:t>’</w:t>
      </w:r>
      <w:r w:rsidRPr="00F47E6D">
        <w:rPr>
          <w:rFonts w:cs="Arial"/>
        </w:rPr>
        <w:t xml:space="preserve"> the project to a long-term developer or operator may not invest sufficient time and resources in community engagement </w:t>
      </w:r>
      <w:r>
        <w:rPr>
          <w:rFonts w:cs="Arial"/>
        </w:rPr>
        <w:t>or</w:t>
      </w:r>
      <w:r w:rsidRPr="00F47E6D">
        <w:rPr>
          <w:rFonts w:cs="Arial"/>
        </w:rPr>
        <w:t xml:space="preserve"> neighbour relations to be effective. These limited efforts can result in lower levels of community support and more divided communities, compared with projects where the project developers appropriately focus on effective community engagement from the very start of the development activity.</w:t>
      </w:r>
    </w:p>
    <w:p w14:paraId="303F17BE" w14:textId="5BE0F4AA" w:rsidR="00947ED2" w:rsidRPr="00F47E6D" w:rsidRDefault="00947ED2" w:rsidP="00947ED2">
      <w:pPr>
        <w:pStyle w:val="ListParagraph"/>
        <w:numPr>
          <w:ilvl w:val="0"/>
          <w:numId w:val="0"/>
        </w:numPr>
        <w:ind w:left="360"/>
        <w:rPr>
          <w:rFonts w:cs="Arial"/>
        </w:rPr>
      </w:pPr>
      <w:r w:rsidRPr="00F47E6D">
        <w:rPr>
          <w:rFonts w:cs="Arial"/>
        </w:rPr>
        <w:t>In</w:t>
      </w:r>
      <w:r>
        <w:rPr>
          <w:rFonts w:cs="Arial"/>
        </w:rPr>
        <w:t xml:space="preserve"> some jurisdictions, such as New South Wales</w:t>
      </w:r>
      <w:r w:rsidRPr="00F47E6D">
        <w:rPr>
          <w:rFonts w:cs="Arial"/>
        </w:rPr>
        <w:t xml:space="preserve">, </w:t>
      </w:r>
      <w:r>
        <w:rPr>
          <w:rFonts w:cs="Arial"/>
        </w:rPr>
        <w:t xml:space="preserve">the planning guideline framework has provided for an early and continuing focus community engagement, including the establishment of a </w:t>
      </w:r>
      <w:r w:rsidRPr="00F47E6D">
        <w:rPr>
          <w:rFonts w:cs="Arial"/>
        </w:rPr>
        <w:t xml:space="preserve">Community Consultative Committee (CCC) </w:t>
      </w:r>
      <w:r w:rsidRPr="00827141">
        <w:rPr>
          <w:rFonts w:cs="Arial"/>
        </w:rPr>
        <w:t xml:space="preserve">that </w:t>
      </w:r>
      <w:r>
        <w:rPr>
          <w:rFonts w:cs="Arial"/>
        </w:rPr>
        <w:t xml:space="preserve">is maintained </w:t>
      </w:r>
      <w:r w:rsidRPr="00827141">
        <w:rPr>
          <w:rFonts w:cs="Arial"/>
        </w:rPr>
        <w:t>throughout</w:t>
      </w:r>
      <w:r w:rsidR="00F15C15">
        <w:rPr>
          <w:rFonts w:cs="Arial"/>
        </w:rPr>
        <w:t xml:space="preserve"> the</w:t>
      </w:r>
      <w:r w:rsidRPr="00827141">
        <w:rPr>
          <w:rFonts w:cs="Arial"/>
        </w:rPr>
        <w:t xml:space="preserve"> </w:t>
      </w:r>
      <w:r>
        <w:rPr>
          <w:rFonts w:cs="Arial"/>
        </w:rPr>
        <w:t xml:space="preserve">life of the </w:t>
      </w:r>
      <w:r w:rsidRPr="00827141">
        <w:rPr>
          <w:rFonts w:cs="Arial"/>
        </w:rPr>
        <w:t xml:space="preserve">project. Further, recent feed-in tariff arrangements established by the ACT </w:t>
      </w:r>
      <w:r>
        <w:rPr>
          <w:rFonts w:cs="Arial"/>
        </w:rPr>
        <w:t xml:space="preserve">and </w:t>
      </w:r>
      <w:r w:rsidRPr="00827141">
        <w:rPr>
          <w:rFonts w:cs="Arial"/>
        </w:rPr>
        <w:t>Victorian Government</w:t>
      </w:r>
      <w:r>
        <w:rPr>
          <w:rFonts w:cs="Arial"/>
        </w:rPr>
        <w:t>s</w:t>
      </w:r>
      <w:r w:rsidRPr="00827141">
        <w:rPr>
          <w:rFonts w:cs="Arial"/>
        </w:rPr>
        <w:t>, place a significant weighting on selecting developers</w:t>
      </w:r>
      <w:r>
        <w:rPr>
          <w:rFonts w:cs="Arial"/>
        </w:rPr>
        <w:t>/projects</w:t>
      </w:r>
      <w:r w:rsidRPr="00827141">
        <w:rPr>
          <w:rFonts w:cs="Arial"/>
        </w:rPr>
        <w:t xml:space="preserve"> that have proposed and demonstrated effective community engagement </w:t>
      </w:r>
      <w:r>
        <w:rPr>
          <w:rFonts w:cs="Arial"/>
        </w:rPr>
        <w:t xml:space="preserve">programs and subscribe to </w:t>
      </w:r>
      <w:r w:rsidRPr="00827141">
        <w:rPr>
          <w:rFonts w:cs="Arial"/>
        </w:rPr>
        <w:t>community engagement as a high priority.</w:t>
      </w:r>
    </w:p>
    <w:p w14:paraId="7F7EA4F1" w14:textId="77777777" w:rsidR="00947ED2" w:rsidRDefault="00947ED2" w:rsidP="00947ED2">
      <w:pPr>
        <w:pStyle w:val="ListParagraph"/>
        <w:numPr>
          <w:ilvl w:val="0"/>
          <w:numId w:val="0"/>
        </w:numPr>
        <w:ind w:left="360"/>
        <w:rPr>
          <w:rFonts w:cs="Arial"/>
        </w:rPr>
      </w:pPr>
      <w:r w:rsidRPr="00F47E6D">
        <w:rPr>
          <w:rFonts w:cs="Arial"/>
        </w:rPr>
        <w:t>Many projects also establish Community Engagement Funds, funded by the developer, to fun</w:t>
      </w:r>
      <w:r>
        <w:rPr>
          <w:rFonts w:cs="Arial"/>
        </w:rPr>
        <w:t>d a wide range of initiatives that</w:t>
      </w:r>
      <w:r w:rsidRPr="00F47E6D">
        <w:rPr>
          <w:rFonts w:cs="Arial"/>
        </w:rPr>
        <w:t xml:space="preserve"> benefit the local community. In some cases, such funds are a condition of the permit approval, but largely these are voluntary arrangements proposed by the developer.</w:t>
      </w:r>
    </w:p>
    <w:p w14:paraId="388AB859" w14:textId="54AE48D9" w:rsidR="00947ED2" w:rsidRDefault="00947ED2" w:rsidP="00947ED2">
      <w:pPr>
        <w:pStyle w:val="ListParagraph"/>
        <w:numPr>
          <w:ilvl w:val="0"/>
          <w:numId w:val="0"/>
        </w:numPr>
        <w:ind w:left="360"/>
        <w:rPr>
          <w:rFonts w:cs="Arial"/>
        </w:rPr>
      </w:pPr>
      <w:r>
        <w:rPr>
          <w:rFonts w:cs="Arial"/>
        </w:rPr>
        <w:t>The quality of and information provided by wind farm websites vary from project and/or developer. In general, there is more work to be done by developers to provide up</w:t>
      </w:r>
      <w:r w:rsidR="00850D8D">
        <w:rPr>
          <w:rFonts w:cs="Arial"/>
        </w:rPr>
        <w:t>-</w:t>
      </w:r>
      <w:r>
        <w:rPr>
          <w:rFonts w:cs="Arial"/>
        </w:rPr>
        <w:t>to</w:t>
      </w:r>
      <w:r w:rsidR="00850D8D">
        <w:rPr>
          <w:rFonts w:cs="Arial"/>
        </w:rPr>
        <w:t>-</w:t>
      </w:r>
      <w:r>
        <w:rPr>
          <w:rFonts w:cs="Arial"/>
        </w:rPr>
        <w:t>date websites with clear transparency of information about the developer, the project, how and who to contact at the developer, how to make a complaint and the complaint process along with access to all relevant project documents.</w:t>
      </w:r>
    </w:p>
    <w:p w14:paraId="485AF301" w14:textId="68070394" w:rsidR="00154D60" w:rsidRPr="00A5308F" w:rsidRDefault="00A5308F" w:rsidP="00A5308F">
      <w:pPr>
        <w:ind w:left="369" w:hanging="9"/>
        <w:rPr>
          <w:rFonts w:cs="Arial"/>
        </w:rPr>
      </w:pPr>
      <w:r>
        <w:lastRenderedPageBreak/>
        <w:t>S</w:t>
      </w:r>
      <w:r w:rsidR="00154D60" w:rsidRPr="00A5308F">
        <w:t xml:space="preserve">ome regions of Australia </w:t>
      </w:r>
      <w:r w:rsidR="003074BE" w:rsidRPr="00A5308F">
        <w:t>are experiencing</w:t>
      </w:r>
      <w:r w:rsidR="00154D60" w:rsidRPr="00A5308F">
        <w:t xml:space="preserve"> increased clustering of proposed and approved wind farms which may result in </w:t>
      </w:r>
      <w:r>
        <w:t xml:space="preserve">multiple wind farms infiltrating and </w:t>
      </w:r>
      <w:r w:rsidR="00154D60" w:rsidRPr="00A5308F">
        <w:t>‘surrounding’ communities</w:t>
      </w:r>
      <w:r w:rsidR="00D15306">
        <w:t>.</w:t>
      </w:r>
      <w:r>
        <w:t xml:space="preserve"> As a result</w:t>
      </w:r>
      <w:r w:rsidR="00154D60" w:rsidRPr="00A5308F">
        <w:t xml:space="preserve">, there </w:t>
      </w:r>
      <w:r>
        <w:t xml:space="preserve">is both the need and </w:t>
      </w:r>
      <w:r w:rsidR="00154D60" w:rsidRPr="00A5308F">
        <w:t xml:space="preserve">opportunities for </w:t>
      </w:r>
      <w:r>
        <w:t xml:space="preserve">individual project </w:t>
      </w:r>
      <w:r w:rsidR="00154D60" w:rsidRPr="00A5308F">
        <w:t xml:space="preserve">developers to communicate more effectively </w:t>
      </w:r>
      <w:r w:rsidR="003074BE" w:rsidRPr="00A5308F">
        <w:t xml:space="preserve">with each other </w:t>
      </w:r>
      <w:r>
        <w:t>and better</w:t>
      </w:r>
      <w:r w:rsidR="00154D60" w:rsidRPr="00A5308F">
        <w:t xml:space="preserve"> coordinate </w:t>
      </w:r>
      <w:r w:rsidR="00EC2BB5" w:rsidRPr="00A5308F">
        <w:t>engagement</w:t>
      </w:r>
      <w:r w:rsidR="00154D60" w:rsidRPr="00A5308F">
        <w:t xml:space="preserve"> with the </w:t>
      </w:r>
      <w:r w:rsidR="00EC2BB5" w:rsidRPr="00A5308F">
        <w:t xml:space="preserve">affected </w:t>
      </w:r>
      <w:r w:rsidR="00154D60" w:rsidRPr="00A5308F">
        <w:t xml:space="preserve">community. This could range from combined initiatives </w:t>
      </w:r>
      <w:r w:rsidR="00EC2BB5" w:rsidRPr="00A5308F">
        <w:t xml:space="preserve">by wind farm developers </w:t>
      </w:r>
      <w:r w:rsidR="00154D60" w:rsidRPr="00A5308F">
        <w:t xml:space="preserve">through to coordination of construction </w:t>
      </w:r>
      <w:r>
        <w:t>programs</w:t>
      </w:r>
      <w:r w:rsidR="00154D60" w:rsidRPr="00A5308F">
        <w:t xml:space="preserve"> to minimise cumulative impacts on residents and townships. Developers should also be aware of other key infrastructure projects that may be taking place in a region and </w:t>
      </w:r>
      <w:r w:rsidR="00EC2BB5" w:rsidRPr="00A5308F">
        <w:t>ensure that project schedules</w:t>
      </w:r>
      <w:r w:rsidR="00E31733" w:rsidRPr="00A5308F">
        <w:t xml:space="preserve"> are planned and coordinated to minimise impacts to communities. </w:t>
      </w:r>
    </w:p>
    <w:p w14:paraId="3CCEFF7B" w14:textId="58436239" w:rsidR="00947ED2" w:rsidRPr="00F47E6D" w:rsidRDefault="00947ED2" w:rsidP="00947ED2">
      <w:pPr>
        <w:pStyle w:val="ListParagraph"/>
        <w:numPr>
          <w:ilvl w:val="0"/>
          <w:numId w:val="0"/>
        </w:numPr>
        <w:ind w:left="360"/>
        <w:rPr>
          <w:rFonts w:cs="Arial"/>
        </w:rPr>
      </w:pPr>
      <w:r w:rsidRPr="00F47E6D">
        <w:rPr>
          <w:rFonts w:cs="Arial"/>
        </w:rPr>
        <w:t xml:space="preserve">Overall, there </w:t>
      </w:r>
      <w:r w:rsidR="00A5308F">
        <w:rPr>
          <w:rFonts w:cs="Arial"/>
        </w:rPr>
        <w:t xml:space="preserve">continues to be </w:t>
      </w:r>
      <w:r w:rsidRPr="00F47E6D">
        <w:rPr>
          <w:rFonts w:cs="Arial"/>
        </w:rPr>
        <w:t xml:space="preserve">a </w:t>
      </w:r>
      <w:r w:rsidR="00A5308F">
        <w:rPr>
          <w:rFonts w:cs="Arial"/>
        </w:rPr>
        <w:t xml:space="preserve">wide </w:t>
      </w:r>
      <w:r w:rsidRPr="00F47E6D">
        <w:rPr>
          <w:rFonts w:cs="Arial"/>
        </w:rPr>
        <w:t xml:space="preserve">range of opportunities for developers to further broaden and improve community engagement with respect to wind energy developments. </w:t>
      </w:r>
      <w:r w:rsidR="00A5308F">
        <w:rPr>
          <w:rFonts w:cs="Arial"/>
        </w:rPr>
        <w:t xml:space="preserve">A number of </w:t>
      </w:r>
      <w:r w:rsidRPr="00F47E6D">
        <w:rPr>
          <w:rFonts w:cs="Arial"/>
        </w:rPr>
        <w:t>suggestions gained from observations of various practices across the industry are listed below.</w:t>
      </w:r>
    </w:p>
    <w:p w14:paraId="6C2BE0A8" w14:textId="77777777" w:rsidR="00947ED2" w:rsidRPr="00F47E6D" w:rsidRDefault="00947ED2" w:rsidP="00D35B01">
      <w:pPr>
        <w:pStyle w:val="ListParagraph"/>
        <w:numPr>
          <w:ilvl w:val="1"/>
          <w:numId w:val="8"/>
        </w:numPr>
        <w:rPr>
          <w:rFonts w:cs="Arial"/>
          <w:b/>
        </w:rPr>
      </w:pPr>
      <w:r w:rsidRPr="00F47E6D">
        <w:rPr>
          <w:rFonts w:cs="Arial"/>
          <w:b/>
        </w:rPr>
        <w:t>Recommendations</w:t>
      </w:r>
    </w:p>
    <w:p w14:paraId="6A56781A" w14:textId="77F39F5D" w:rsidR="00947ED2" w:rsidRPr="00F47E6D" w:rsidRDefault="00947ED2" w:rsidP="00D35B01">
      <w:pPr>
        <w:pStyle w:val="ListParagraph"/>
        <w:numPr>
          <w:ilvl w:val="2"/>
          <w:numId w:val="8"/>
        </w:numPr>
        <w:ind w:hanging="720"/>
        <w:rPr>
          <w:rFonts w:cs="Arial"/>
        </w:rPr>
      </w:pPr>
      <w:r>
        <w:rPr>
          <w:rFonts w:cs="Arial"/>
        </w:rPr>
        <w:t>The developer</w:t>
      </w:r>
      <w:r w:rsidRPr="00F47E6D">
        <w:rPr>
          <w:rFonts w:cs="Arial"/>
        </w:rPr>
        <w:t xml:space="preserve"> should </w:t>
      </w:r>
      <w:r w:rsidR="005C5D3B">
        <w:rPr>
          <w:rFonts w:cs="Arial"/>
        </w:rPr>
        <w:t xml:space="preserve">ideally </w:t>
      </w:r>
      <w:r w:rsidRPr="00F47E6D">
        <w:rPr>
          <w:rFonts w:cs="Arial"/>
        </w:rPr>
        <w:t>commence and invest early in community engagement</w:t>
      </w:r>
      <w:r>
        <w:rPr>
          <w:rFonts w:cs="Arial"/>
        </w:rPr>
        <w:t xml:space="preserve"> – well </w:t>
      </w:r>
      <w:r w:rsidRPr="00F47E6D">
        <w:rPr>
          <w:rFonts w:cs="Arial"/>
        </w:rPr>
        <w:t xml:space="preserve">before the commencement of the permit approval phase. An acquirer of a project </w:t>
      </w:r>
      <w:r>
        <w:rPr>
          <w:rFonts w:cs="Arial"/>
        </w:rPr>
        <w:t xml:space="preserve">still in development </w:t>
      </w:r>
      <w:r w:rsidRPr="00F47E6D">
        <w:rPr>
          <w:rFonts w:cs="Arial"/>
        </w:rPr>
        <w:t>should conduct detailed due diligence on the extent and effectiveness of community engagement activities undertaken by the original developer</w:t>
      </w:r>
      <w:r>
        <w:rPr>
          <w:rFonts w:cs="Arial"/>
        </w:rPr>
        <w:t xml:space="preserve"> – prior </w:t>
      </w:r>
      <w:r w:rsidRPr="00F47E6D">
        <w:rPr>
          <w:rFonts w:cs="Arial"/>
        </w:rPr>
        <w:t>to finalising purchase of the project</w:t>
      </w:r>
      <w:r>
        <w:rPr>
          <w:rFonts w:cs="Arial"/>
        </w:rPr>
        <w:t xml:space="preserve"> – and </w:t>
      </w:r>
      <w:r w:rsidRPr="00F47E6D">
        <w:rPr>
          <w:rFonts w:cs="Arial"/>
        </w:rPr>
        <w:t>be prepared to make the necessary investments in community engagement going forward.</w:t>
      </w:r>
    </w:p>
    <w:p w14:paraId="124A6D04" w14:textId="5835BB61" w:rsidR="00947ED2" w:rsidRPr="00F47E6D" w:rsidRDefault="00947ED2" w:rsidP="00D35B01">
      <w:pPr>
        <w:pStyle w:val="ListParagraph"/>
        <w:numPr>
          <w:ilvl w:val="2"/>
          <w:numId w:val="8"/>
        </w:numPr>
        <w:ind w:hanging="720"/>
        <w:rPr>
          <w:rFonts w:cs="Arial"/>
        </w:rPr>
      </w:pPr>
      <w:r>
        <w:rPr>
          <w:rFonts w:cs="Arial"/>
        </w:rPr>
        <w:t>The developer</w:t>
      </w:r>
      <w:r w:rsidRPr="00F47E6D">
        <w:rPr>
          <w:rFonts w:cs="Arial"/>
        </w:rPr>
        <w:t xml:space="preserve"> should </w:t>
      </w:r>
      <w:r w:rsidR="005C5D3B">
        <w:rPr>
          <w:rFonts w:cs="Arial"/>
        </w:rPr>
        <w:t xml:space="preserve">proactively </w:t>
      </w:r>
      <w:r w:rsidRPr="00F47E6D">
        <w:rPr>
          <w:rFonts w:cs="Arial"/>
        </w:rPr>
        <w:t>identify and establish effective relationships with key community stakeholders, including stakeholders that may be opposed to the project.</w:t>
      </w:r>
    </w:p>
    <w:p w14:paraId="4C44F7B0" w14:textId="13B0D10D" w:rsidR="00947ED2" w:rsidRPr="00F47E6D" w:rsidRDefault="00947ED2" w:rsidP="00D35B01">
      <w:pPr>
        <w:pStyle w:val="ListParagraph"/>
        <w:numPr>
          <w:ilvl w:val="2"/>
          <w:numId w:val="8"/>
        </w:numPr>
        <w:ind w:hanging="720"/>
        <w:rPr>
          <w:rFonts w:cs="Arial"/>
        </w:rPr>
      </w:pPr>
      <w:r>
        <w:rPr>
          <w:rFonts w:cs="Arial"/>
        </w:rPr>
        <w:t>The developer should</w:t>
      </w:r>
      <w:r w:rsidRPr="00F47E6D">
        <w:rPr>
          <w:rFonts w:cs="Arial"/>
        </w:rPr>
        <w:t>, in consultation with the responsible authority</w:t>
      </w:r>
      <w:r>
        <w:rPr>
          <w:rFonts w:cs="Arial"/>
        </w:rPr>
        <w:t xml:space="preserve"> and the community</w:t>
      </w:r>
      <w:r w:rsidRPr="00F47E6D">
        <w:rPr>
          <w:rFonts w:cs="Arial"/>
        </w:rPr>
        <w:t xml:space="preserve">, </w:t>
      </w:r>
      <w:r>
        <w:rPr>
          <w:rFonts w:cs="Arial"/>
        </w:rPr>
        <w:t xml:space="preserve">consider </w:t>
      </w:r>
      <w:r w:rsidRPr="00F47E6D">
        <w:rPr>
          <w:rFonts w:cs="Arial"/>
        </w:rPr>
        <w:t>establish</w:t>
      </w:r>
      <w:r>
        <w:rPr>
          <w:rFonts w:cs="Arial"/>
        </w:rPr>
        <w:t>ing</w:t>
      </w:r>
      <w:r w:rsidRPr="00F47E6D">
        <w:rPr>
          <w:rFonts w:cs="Arial"/>
        </w:rPr>
        <w:t xml:space="preserve"> a CCC</w:t>
      </w:r>
      <w:r>
        <w:rPr>
          <w:rFonts w:cs="Arial"/>
        </w:rPr>
        <w:t xml:space="preserve"> (</w:t>
      </w:r>
      <w:r w:rsidRPr="00F47E6D">
        <w:rPr>
          <w:rFonts w:cs="Arial"/>
        </w:rPr>
        <w:t>or equivalent</w:t>
      </w:r>
      <w:r>
        <w:rPr>
          <w:rFonts w:cs="Arial"/>
        </w:rPr>
        <w:t>)</w:t>
      </w:r>
      <w:r w:rsidRPr="00F47E6D">
        <w:rPr>
          <w:rFonts w:cs="Arial"/>
        </w:rPr>
        <w:t xml:space="preserve"> with an appropriate charter and membership</w:t>
      </w:r>
      <w:r>
        <w:rPr>
          <w:rFonts w:cs="Arial"/>
        </w:rPr>
        <w:t xml:space="preserve"> (noting that in some jurisdictions, a CCC may be man</w:t>
      </w:r>
      <w:r w:rsidRPr="00F47E6D">
        <w:rPr>
          <w:rFonts w:cs="Arial"/>
        </w:rPr>
        <w:t>dated</w:t>
      </w:r>
      <w:r>
        <w:rPr>
          <w:rFonts w:cs="Arial"/>
        </w:rPr>
        <w:t>)</w:t>
      </w:r>
      <w:r w:rsidRPr="00F47E6D">
        <w:rPr>
          <w:rFonts w:cs="Arial"/>
        </w:rPr>
        <w:t>. The CCC Chair should</w:t>
      </w:r>
      <w:r>
        <w:rPr>
          <w:rFonts w:cs="Arial"/>
        </w:rPr>
        <w:t>, where practical, be a respected and representative</w:t>
      </w:r>
      <w:r w:rsidRPr="00F47E6D">
        <w:rPr>
          <w:rFonts w:cs="Arial"/>
        </w:rPr>
        <w:t xml:space="preserve"> member of the community at large a</w:t>
      </w:r>
      <w:r>
        <w:rPr>
          <w:rFonts w:cs="Arial"/>
        </w:rPr>
        <w:t xml:space="preserve">s well as </w:t>
      </w:r>
      <w:r w:rsidRPr="00F47E6D">
        <w:rPr>
          <w:rFonts w:cs="Arial"/>
        </w:rPr>
        <w:t>independent of any direct impact or benefic</w:t>
      </w:r>
      <w:r>
        <w:rPr>
          <w:rFonts w:cs="Arial"/>
        </w:rPr>
        <w:t>iary of the proposed wind farm. Ideally, the CCC should meet monthly during critical stages of the project’s deve</w:t>
      </w:r>
      <w:r w:rsidR="003F3EF9">
        <w:rPr>
          <w:rFonts w:cs="Arial"/>
        </w:rPr>
        <w:t xml:space="preserve">lopment, approval, construction, post-construction testing </w:t>
      </w:r>
      <w:r>
        <w:rPr>
          <w:rFonts w:cs="Arial"/>
        </w:rPr>
        <w:t>and initial operations.</w:t>
      </w:r>
    </w:p>
    <w:p w14:paraId="0CDEEE7C" w14:textId="48B261B9" w:rsidR="00947ED2" w:rsidRPr="00F47E6D" w:rsidRDefault="00947ED2" w:rsidP="00D35B01">
      <w:pPr>
        <w:pStyle w:val="ListParagraph"/>
        <w:numPr>
          <w:ilvl w:val="2"/>
          <w:numId w:val="8"/>
        </w:numPr>
        <w:ind w:hanging="720"/>
        <w:rPr>
          <w:rFonts w:cs="Arial"/>
        </w:rPr>
      </w:pPr>
      <w:r>
        <w:rPr>
          <w:rFonts w:cs="Arial"/>
        </w:rPr>
        <w:t xml:space="preserve">Many developers provide a range of </w:t>
      </w:r>
      <w:r w:rsidRPr="00F47E6D">
        <w:rPr>
          <w:rFonts w:cs="Arial"/>
        </w:rPr>
        <w:t xml:space="preserve">information and education opportunities for community members to better understand the </w:t>
      </w:r>
      <w:r>
        <w:rPr>
          <w:rFonts w:cs="Arial"/>
        </w:rPr>
        <w:t xml:space="preserve">benefits and </w:t>
      </w:r>
      <w:r w:rsidRPr="00F47E6D">
        <w:rPr>
          <w:rFonts w:cs="Arial"/>
        </w:rPr>
        <w:t>impacts of wind farms a</w:t>
      </w:r>
      <w:r>
        <w:rPr>
          <w:rFonts w:cs="Arial"/>
        </w:rPr>
        <w:t>s well as</w:t>
      </w:r>
      <w:r w:rsidRPr="00F47E6D">
        <w:rPr>
          <w:rFonts w:cs="Arial"/>
        </w:rPr>
        <w:t xml:space="preserve"> address any questions and concerns raised. </w:t>
      </w:r>
      <w:r w:rsidR="003F3EF9">
        <w:rPr>
          <w:rFonts w:cs="Arial"/>
        </w:rPr>
        <w:t>I</w:t>
      </w:r>
      <w:r w:rsidRPr="00F47E6D">
        <w:rPr>
          <w:rFonts w:cs="Arial"/>
        </w:rPr>
        <w:t xml:space="preserve">nitiatives </w:t>
      </w:r>
      <w:r w:rsidR="003F3EF9">
        <w:rPr>
          <w:rFonts w:cs="Arial"/>
        </w:rPr>
        <w:t xml:space="preserve">to consider </w:t>
      </w:r>
      <w:r w:rsidR="00C968A8">
        <w:rPr>
          <w:rFonts w:cs="Arial"/>
        </w:rPr>
        <w:t>include:</w:t>
      </w:r>
    </w:p>
    <w:p w14:paraId="5F6FD2D4" w14:textId="77777777" w:rsidR="00947ED2" w:rsidRDefault="00947ED2" w:rsidP="00D35B01">
      <w:pPr>
        <w:pStyle w:val="ListBullet"/>
        <w:numPr>
          <w:ilvl w:val="0"/>
          <w:numId w:val="11"/>
        </w:numPr>
        <w:ind w:hanging="720"/>
        <w:rPr>
          <w:rFonts w:cs="Arial"/>
        </w:rPr>
      </w:pPr>
      <w:r w:rsidRPr="00F47E6D">
        <w:rPr>
          <w:rFonts w:cs="Arial"/>
        </w:rPr>
        <w:t>establishing a ‘shop front’ in the community town centre that provides project/permit information, a map and model of the project, information about wind farms and an ability to address questions or concerns raised by community members</w:t>
      </w:r>
    </w:p>
    <w:p w14:paraId="5FF7E94D" w14:textId="77777777" w:rsidR="00947ED2" w:rsidRPr="00F47E6D" w:rsidRDefault="00947ED2" w:rsidP="00D35B01">
      <w:pPr>
        <w:pStyle w:val="ListBullet"/>
        <w:numPr>
          <w:ilvl w:val="0"/>
          <w:numId w:val="11"/>
        </w:numPr>
        <w:ind w:hanging="720"/>
        <w:rPr>
          <w:rFonts w:cs="Arial"/>
        </w:rPr>
      </w:pPr>
      <w:r>
        <w:rPr>
          <w:rFonts w:cs="Arial"/>
        </w:rPr>
        <w:t xml:space="preserve">providing an informal channel for community members to ask questions and provide feedback about the project, and be able to do so anonymously if required </w:t>
      </w:r>
    </w:p>
    <w:p w14:paraId="44BE2A74" w14:textId="77777777" w:rsidR="00947ED2" w:rsidRPr="00F47E6D" w:rsidRDefault="00947ED2" w:rsidP="00D35B01">
      <w:pPr>
        <w:pStyle w:val="ListParagraph"/>
        <w:numPr>
          <w:ilvl w:val="0"/>
          <w:numId w:val="11"/>
        </w:numPr>
        <w:ind w:hanging="720"/>
        <w:rPr>
          <w:rFonts w:cs="Arial"/>
        </w:rPr>
      </w:pPr>
      <w:r w:rsidRPr="00F47E6D">
        <w:rPr>
          <w:rFonts w:cs="Arial"/>
        </w:rPr>
        <w:t>providing opportunities for community members to visit operating wind farms</w:t>
      </w:r>
    </w:p>
    <w:p w14:paraId="4E6F8B2B" w14:textId="59EB57D9" w:rsidR="00947ED2" w:rsidRPr="00F47E6D" w:rsidRDefault="00947ED2" w:rsidP="00D35B01">
      <w:pPr>
        <w:pStyle w:val="ListParagraph"/>
        <w:numPr>
          <w:ilvl w:val="0"/>
          <w:numId w:val="11"/>
        </w:numPr>
        <w:ind w:hanging="720"/>
        <w:rPr>
          <w:rFonts w:cs="Arial"/>
        </w:rPr>
      </w:pPr>
      <w:r w:rsidRPr="00F47E6D">
        <w:rPr>
          <w:rFonts w:cs="Arial"/>
        </w:rPr>
        <w:t xml:space="preserve">providing </w:t>
      </w:r>
      <w:r>
        <w:rPr>
          <w:rFonts w:cs="Arial"/>
        </w:rPr>
        <w:t xml:space="preserve">access to </w:t>
      </w:r>
      <w:r w:rsidRPr="00F47E6D">
        <w:rPr>
          <w:rFonts w:cs="Arial"/>
        </w:rPr>
        <w:t xml:space="preserve">a wind farm noise simulator to </w:t>
      </w:r>
      <w:r w:rsidR="00F24665">
        <w:rPr>
          <w:rFonts w:cs="Arial"/>
        </w:rPr>
        <w:t>demonstrate</w:t>
      </w:r>
      <w:r w:rsidRPr="00F47E6D">
        <w:rPr>
          <w:rFonts w:cs="Arial"/>
        </w:rPr>
        <w:t xml:space="preserve"> wind farm noise </w:t>
      </w:r>
      <w:r>
        <w:rPr>
          <w:rFonts w:cs="Arial"/>
        </w:rPr>
        <w:t xml:space="preserve">to community members </w:t>
      </w:r>
      <w:r w:rsidRPr="00F47E6D">
        <w:rPr>
          <w:rFonts w:cs="Arial"/>
        </w:rPr>
        <w:t xml:space="preserve">and </w:t>
      </w:r>
      <w:r>
        <w:rPr>
          <w:rFonts w:cs="Arial"/>
        </w:rPr>
        <w:t xml:space="preserve">enable them to </w:t>
      </w:r>
      <w:r w:rsidRPr="00F47E6D">
        <w:rPr>
          <w:rFonts w:cs="Arial"/>
        </w:rPr>
        <w:t xml:space="preserve">experience simulated noise </w:t>
      </w:r>
      <w:r w:rsidR="00F24665">
        <w:rPr>
          <w:rFonts w:cs="Arial"/>
        </w:rPr>
        <w:t>scenarios</w:t>
      </w:r>
    </w:p>
    <w:p w14:paraId="283AC119" w14:textId="7F7E485C" w:rsidR="00947ED2" w:rsidRPr="00F47E6D" w:rsidRDefault="00947ED2" w:rsidP="00D35B01">
      <w:pPr>
        <w:pStyle w:val="ListParagraph"/>
        <w:numPr>
          <w:ilvl w:val="0"/>
          <w:numId w:val="11"/>
        </w:numPr>
        <w:ind w:hanging="720"/>
        <w:rPr>
          <w:rFonts w:cs="Arial"/>
        </w:rPr>
      </w:pPr>
      <w:r w:rsidRPr="00F47E6D">
        <w:rPr>
          <w:rFonts w:cs="Arial"/>
        </w:rPr>
        <w:t xml:space="preserve">maintaining an up-to-date project website with full transparency on </w:t>
      </w:r>
      <w:r>
        <w:rPr>
          <w:rFonts w:cs="Arial"/>
        </w:rPr>
        <w:t>contact</w:t>
      </w:r>
      <w:r w:rsidR="00F24665">
        <w:rPr>
          <w:rFonts w:cs="Arial"/>
        </w:rPr>
        <w:t>s</w:t>
      </w:r>
      <w:r>
        <w:rPr>
          <w:rFonts w:cs="Arial"/>
        </w:rPr>
        <w:t xml:space="preserve">, complaint process, </w:t>
      </w:r>
      <w:r w:rsidRPr="00F47E6D">
        <w:rPr>
          <w:rFonts w:cs="Arial"/>
        </w:rPr>
        <w:t xml:space="preserve">project </w:t>
      </w:r>
      <w:r>
        <w:rPr>
          <w:rFonts w:cs="Arial"/>
        </w:rPr>
        <w:t xml:space="preserve">details and status along with </w:t>
      </w:r>
      <w:r w:rsidR="00F24665">
        <w:rPr>
          <w:rFonts w:cs="Arial"/>
        </w:rPr>
        <w:t xml:space="preserve">planning </w:t>
      </w:r>
      <w:r w:rsidRPr="00F47E6D">
        <w:rPr>
          <w:rFonts w:cs="Arial"/>
        </w:rPr>
        <w:t xml:space="preserve">permit </w:t>
      </w:r>
      <w:r w:rsidR="00F24665">
        <w:rPr>
          <w:rFonts w:cs="Arial"/>
        </w:rPr>
        <w:t>details and documentation</w:t>
      </w:r>
      <w:r w:rsidRPr="00F47E6D">
        <w:rPr>
          <w:rFonts w:cs="Arial"/>
        </w:rPr>
        <w:t xml:space="preserve"> </w:t>
      </w:r>
    </w:p>
    <w:p w14:paraId="710E92B4" w14:textId="1F9B8E73" w:rsidR="00947ED2" w:rsidRPr="00F47E6D" w:rsidRDefault="00947ED2" w:rsidP="00D35B01">
      <w:pPr>
        <w:pStyle w:val="ListParagraph"/>
        <w:numPr>
          <w:ilvl w:val="0"/>
          <w:numId w:val="11"/>
        </w:numPr>
        <w:ind w:hanging="720"/>
        <w:rPr>
          <w:rFonts w:cs="Arial"/>
        </w:rPr>
      </w:pPr>
      <w:r w:rsidRPr="00F47E6D">
        <w:rPr>
          <w:rFonts w:cs="Arial"/>
        </w:rPr>
        <w:lastRenderedPageBreak/>
        <w:t>providing information sessions about the project and wind farms more generally, at convenient locations within the community, including presentations from key stakeholders, along with regular project newsletters and updates</w:t>
      </w:r>
      <w:r w:rsidR="00D22429">
        <w:rPr>
          <w:rFonts w:cs="Arial"/>
        </w:rPr>
        <w:t>, and</w:t>
      </w:r>
    </w:p>
    <w:p w14:paraId="571EED30" w14:textId="3A886D5C" w:rsidR="00947ED2" w:rsidRPr="00F47E6D" w:rsidRDefault="00947ED2" w:rsidP="00D35B01">
      <w:pPr>
        <w:pStyle w:val="ListParagraph"/>
        <w:numPr>
          <w:ilvl w:val="0"/>
          <w:numId w:val="11"/>
        </w:numPr>
        <w:ind w:hanging="720"/>
        <w:rPr>
          <w:rFonts w:cs="Arial"/>
        </w:rPr>
      </w:pPr>
      <w:r w:rsidRPr="00F47E6D">
        <w:rPr>
          <w:rFonts w:cs="Arial"/>
        </w:rPr>
        <w:t>publishing the minutes</w:t>
      </w:r>
      <w:r w:rsidR="00497CE0">
        <w:rPr>
          <w:rFonts w:cs="Arial"/>
        </w:rPr>
        <w:t>, where applicable,</w:t>
      </w:r>
      <w:r w:rsidRPr="00F47E6D">
        <w:rPr>
          <w:rFonts w:cs="Arial"/>
        </w:rPr>
        <w:t xml:space="preserve"> of CCC</w:t>
      </w:r>
      <w:r w:rsidR="003F6111">
        <w:rPr>
          <w:rFonts w:cs="Arial"/>
        </w:rPr>
        <w:t xml:space="preserve"> (or equivalent)</w:t>
      </w:r>
      <w:r w:rsidRPr="00F47E6D">
        <w:rPr>
          <w:rFonts w:cs="Arial"/>
        </w:rPr>
        <w:t xml:space="preserve"> meetings and allowing observers to attend CCC meetings.</w:t>
      </w:r>
    </w:p>
    <w:p w14:paraId="587E368F" w14:textId="5E4A3434" w:rsidR="00947ED2" w:rsidRPr="00F47E6D" w:rsidRDefault="00947ED2" w:rsidP="00D35B01">
      <w:pPr>
        <w:pStyle w:val="ListParagraph"/>
        <w:numPr>
          <w:ilvl w:val="2"/>
          <w:numId w:val="8"/>
        </w:numPr>
        <w:ind w:hanging="720"/>
        <w:rPr>
          <w:rFonts w:cs="Arial"/>
        </w:rPr>
      </w:pPr>
      <w:r w:rsidRPr="00F47E6D">
        <w:rPr>
          <w:rFonts w:cs="Arial"/>
        </w:rPr>
        <w:t xml:space="preserve">The developer should establish a </w:t>
      </w:r>
      <w:r w:rsidR="00F61769">
        <w:rPr>
          <w:rFonts w:cs="Arial"/>
        </w:rPr>
        <w:t xml:space="preserve">formal </w:t>
      </w:r>
      <w:r w:rsidRPr="00F47E6D">
        <w:rPr>
          <w:rFonts w:cs="Arial"/>
        </w:rPr>
        <w:t xml:space="preserve">complaints/enquiry process, </w:t>
      </w:r>
      <w:r>
        <w:rPr>
          <w:rFonts w:cs="Arial"/>
        </w:rPr>
        <w:t xml:space="preserve">including a </w:t>
      </w:r>
      <w:r w:rsidRPr="00B6283A">
        <w:rPr>
          <w:rFonts w:cs="Arial"/>
        </w:rPr>
        <w:t>system</w:t>
      </w:r>
      <w:r w:rsidR="00F61769">
        <w:rPr>
          <w:rFonts w:cs="Arial"/>
        </w:rPr>
        <w:t xml:space="preserve"> to record and manage complaints</w:t>
      </w:r>
      <w:r w:rsidR="00666799">
        <w:rPr>
          <w:rFonts w:cs="Arial"/>
        </w:rPr>
        <w:t>, as well as provide</w:t>
      </w:r>
      <w:r w:rsidRPr="00B6283A">
        <w:rPr>
          <w:rFonts w:cs="Arial"/>
        </w:rPr>
        <w:t xml:space="preserve"> a transparent register of complaints/enquiries</w:t>
      </w:r>
      <w:r>
        <w:rPr>
          <w:rFonts w:cs="Arial"/>
        </w:rPr>
        <w:t xml:space="preserve"> </w:t>
      </w:r>
      <w:r w:rsidR="00666799">
        <w:rPr>
          <w:rFonts w:cs="Arial"/>
        </w:rPr>
        <w:t xml:space="preserve">information </w:t>
      </w:r>
      <w:r>
        <w:rPr>
          <w:rFonts w:cs="Arial"/>
        </w:rPr>
        <w:t xml:space="preserve">(note: actual complainant details can be masked for privacy). The </w:t>
      </w:r>
      <w:r w:rsidR="00666799">
        <w:rPr>
          <w:rFonts w:cs="Arial"/>
        </w:rPr>
        <w:t xml:space="preserve">complaints </w:t>
      </w:r>
      <w:r>
        <w:rPr>
          <w:rFonts w:cs="Arial"/>
        </w:rPr>
        <w:t>process should ideally commence</w:t>
      </w:r>
      <w:r w:rsidRPr="00F47E6D">
        <w:rPr>
          <w:rFonts w:cs="Arial"/>
        </w:rPr>
        <w:t xml:space="preserve"> at the initial stage of the development activity to allow community members to formally raise concerns and have these concerns addressed in a timely</w:t>
      </w:r>
      <w:r>
        <w:rPr>
          <w:rFonts w:cs="Arial"/>
        </w:rPr>
        <w:t>, c</w:t>
      </w:r>
      <w:r w:rsidRPr="00F47E6D">
        <w:rPr>
          <w:rFonts w:cs="Arial"/>
        </w:rPr>
        <w:t xml:space="preserve">onsistent </w:t>
      </w:r>
      <w:r>
        <w:rPr>
          <w:rFonts w:cs="Arial"/>
        </w:rPr>
        <w:t xml:space="preserve">and transparent </w:t>
      </w:r>
      <w:r w:rsidRPr="00F47E6D">
        <w:rPr>
          <w:rFonts w:cs="Arial"/>
        </w:rPr>
        <w:t>manner.</w:t>
      </w:r>
    </w:p>
    <w:p w14:paraId="7CFFE9E8" w14:textId="741067D4" w:rsidR="00947ED2" w:rsidRPr="00F47E6D" w:rsidRDefault="00947ED2" w:rsidP="00D35B01">
      <w:pPr>
        <w:pStyle w:val="ListParagraph"/>
        <w:numPr>
          <w:ilvl w:val="2"/>
          <w:numId w:val="8"/>
        </w:numPr>
        <w:ind w:hanging="720"/>
        <w:rPr>
          <w:rFonts w:cs="Arial"/>
        </w:rPr>
      </w:pPr>
      <w:r w:rsidRPr="00F47E6D">
        <w:rPr>
          <w:rFonts w:cs="Arial"/>
        </w:rPr>
        <w:t xml:space="preserve">The developer </w:t>
      </w:r>
      <w:r>
        <w:rPr>
          <w:rFonts w:cs="Arial"/>
        </w:rPr>
        <w:t>(</w:t>
      </w:r>
      <w:r w:rsidRPr="00F47E6D">
        <w:rPr>
          <w:rFonts w:cs="Arial"/>
        </w:rPr>
        <w:t>and CCC</w:t>
      </w:r>
      <w:r>
        <w:rPr>
          <w:rFonts w:cs="Arial"/>
        </w:rPr>
        <w:t xml:space="preserve"> if it exists)</w:t>
      </w:r>
      <w:r w:rsidRPr="00F47E6D">
        <w:rPr>
          <w:rFonts w:cs="Arial"/>
        </w:rPr>
        <w:t xml:space="preserve"> should consult widely and communicate effectively and extensively on the proposed construction and </w:t>
      </w:r>
      <w:r w:rsidR="00666799">
        <w:rPr>
          <w:rFonts w:cs="Arial"/>
        </w:rPr>
        <w:t xml:space="preserve">related </w:t>
      </w:r>
      <w:r w:rsidRPr="00F47E6D">
        <w:rPr>
          <w:rFonts w:cs="Arial"/>
        </w:rPr>
        <w:t xml:space="preserve">transport plan. The developer should also ensure appropriate restoration and ‘make-good’ activities and </w:t>
      </w:r>
      <w:r>
        <w:rPr>
          <w:rFonts w:cs="Arial"/>
        </w:rPr>
        <w:t xml:space="preserve">seek, where practical, to </w:t>
      </w:r>
      <w:r w:rsidRPr="00F47E6D">
        <w:rPr>
          <w:rFonts w:cs="Arial"/>
        </w:rPr>
        <w:t xml:space="preserve">leave local infrastructure in </w:t>
      </w:r>
      <w:r w:rsidR="00666799">
        <w:rPr>
          <w:rFonts w:cs="Arial"/>
        </w:rPr>
        <w:t xml:space="preserve">the same or </w:t>
      </w:r>
      <w:r w:rsidRPr="00F47E6D">
        <w:rPr>
          <w:rFonts w:cs="Arial"/>
        </w:rPr>
        <w:t xml:space="preserve">better condition than prior to </w:t>
      </w:r>
      <w:r>
        <w:rPr>
          <w:rFonts w:cs="Arial"/>
        </w:rPr>
        <w:t xml:space="preserve">the </w:t>
      </w:r>
      <w:r w:rsidR="00666799">
        <w:rPr>
          <w:rFonts w:cs="Arial"/>
        </w:rPr>
        <w:t>construction</w:t>
      </w:r>
      <w:r w:rsidRPr="00F47E6D">
        <w:rPr>
          <w:rFonts w:cs="Arial"/>
        </w:rPr>
        <w:t>.</w:t>
      </w:r>
      <w:r>
        <w:rPr>
          <w:rFonts w:cs="Arial"/>
        </w:rPr>
        <w:t xml:space="preserve"> The developer should also proactively provide communications during construction using all forms of relevant channels, including text messaging. Where more than one construction project is occurring in the same area, collaboration should occur between projects to proactively identify and resolve issues, such as constrained supply of gravel, tradespeople, accommodation</w:t>
      </w:r>
      <w:r w:rsidR="00736568">
        <w:rPr>
          <w:rFonts w:cs="Arial"/>
        </w:rPr>
        <w:t xml:space="preserve"> and</w:t>
      </w:r>
      <w:r>
        <w:rPr>
          <w:rFonts w:cs="Arial"/>
        </w:rPr>
        <w:t xml:space="preserve"> road access.</w:t>
      </w:r>
    </w:p>
    <w:p w14:paraId="00BD60F2" w14:textId="13F68EB2" w:rsidR="00947ED2" w:rsidRPr="00F47E6D" w:rsidRDefault="00947ED2" w:rsidP="00D35B01">
      <w:pPr>
        <w:pStyle w:val="ListParagraph"/>
        <w:numPr>
          <w:ilvl w:val="2"/>
          <w:numId w:val="8"/>
        </w:numPr>
        <w:ind w:hanging="720"/>
        <w:rPr>
          <w:rFonts w:cs="Arial"/>
        </w:rPr>
      </w:pPr>
      <w:r w:rsidRPr="00F47E6D">
        <w:rPr>
          <w:rFonts w:cs="Arial"/>
        </w:rPr>
        <w:t xml:space="preserve">Further to </w:t>
      </w:r>
      <w:r>
        <w:rPr>
          <w:rFonts w:cs="Arial"/>
        </w:rPr>
        <w:t xml:space="preserve">Recommendation </w:t>
      </w:r>
      <w:r w:rsidRPr="00F47E6D">
        <w:rPr>
          <w:rFonts w:cs="Arial"/>
        </w:rPr>
        <w:t xml:space="preserve">3.2.6, the developer </w:t>
      </w:r>
      <w:r>
        <w:rPr>
          <w:rFonts w:cs="Arial"/>
        </w:rPr>
        <w:t xml:space="preserve">may wish to </w:t>
      </w:r>
      <w:r w:rsidRPr="00F47E6D">
        <w:rPr>
          <w:rFonts w:cs="Arial"/>
        </w:rPr>
        <w:t xml:space="preserve">seek out opportunities to help facilitate improvements to other related </w:t>
      </w:r>
      <w:r>
        <w:rPr>
          <w:rFonts w:cs="Arial"/>
        </w:rPr>
        <w:t xml:space="preserve">community/local infrastructure. Initiatives could include improving </w:t>
      </w:r>
      <w:r w:rsidRPr="00F47E6D">
        <w:rPr>
          <w:rFonts w:cs="Arial"/>
        </w:rPr>
        <w:t xml:space="preserve">mobile phone coverage, </w:t>
      </w:r>
      <w:r>
        <w:rPr>
          <w:rFonts w:cs="Arial"/>
        </w:rPr>
        <w:t>u</w:t>
      </w:r>
      <w:r w:rsidR="00A86494">
        <w:rPr>
          <w:rFonts w:cs="Arial"/>
        </w:rPr>
        <w:t xml:space="preserve">tilising </w:t>
      </w:r>
      <w:r>
        <w:rPr>
          <w:rFonts w:cs="Arial"/>
        </w:rPr>
        <w:t xml:space="preserve">the project workforce to help upgrade local facilities (such as parks, playgrounds) and other practical activities </w:t>
      </w:r>
      <w:r w:rsidRPr="00F47E6D">
        <w:rPr>
          <w:rFonts w:cs="Arial"/>
        </w:rPr>
        <w:t xml:space="preserve">which </w:t>
      </w:r>
      <w:r>
        <w:rPr>
          <w:rFonts w:cs="Arial"/>
        </w:rPr>
        <w:t>c</w:t>
      </w:r>
      <w:r w:rsidRPr="00F47E6D">
        <w:rPr>
          <w:rFonts w:cs="Arial"/>
        </w:rPr>
        <w:t xml:space="preserve">ould benefit </w:t>
      </w:r>
      <w:r>
        <w:rPr>
          <w:rFonts w:cs="Arial"/>
        </w:rPr>
        <w:t>t</w:t>
      </w:r>
      <w:r w:rsidRPr="00F47E6D">
        <w:rPr>
          <w:rFonts w:cs="Arial"/>
        </w:rPr>
        <w:t xml:space="preserve">he </w:t>
      </w:r>
      <w:r>
        <w:rPr>
          <w:rFonts w:cs="Arial"/>
        </w:rPr>
        <w:t xml:space="preserve">overall </w:t>
      </w:r>
      <w:r w:rsidRPr="00F47E6D">
        <w:rPr>
          <w:rFonts w:cs="Arial"/>
        </w:rPr>
        <w:t>community</w:t>
      </w:r>
      <w:r>
        <w:rPr>
          <w:rFonts w:cs="Arial"/>
        </w:rPr>
        <w:t xml:space="preserve"> for years to come</w:t>
      </w:r>
      <w:r w:rsidRPr="00F47E6D">
        <w:rPr>
          <w:rFonts w:cs="Arial"/>
        </w:rPr>
        <w:t>.</w:t>
      </w:r>
    </w:p>
    <w:p w14:paraId="7C3CDA89" w14:textId="77777777" w:rsidR="00947ED2" w:rsidRPr="00F47E6D" w:rsidRDefault="00947ED2" w:rsidP="00D35B01">
      <w:pPr>
        <w:pStyle w:val="ListParagraph"/>
        <w:numPr>
          <w:ilvl w:val="2"/>
          <w:numId w:val="8"/>
        </w:numPr>
        <w:ind w:hanging="720"/>
        <w:rPr>
          <w:rFonts w:cs="Arial"/>
        </w:rPr>
      </w:pPr>
      <w:r w:rsidRPr="00F47E6D">
        <w:rPr>
          <w:rFonts w:cs="Arial"/>
        </w:rPr>
        <w:t xml:space="preserve">Local council(s) should proactively engage with the project and community and be clear in communicating </w:t>
      </w:r>
      <w:r>
        <w:rPr>
          <w:rFonts w:cs="Arial"/>
        </w:rPr>
        <w:t xml:space="preserve">the </w:t>
      </w:r>
      <w:r w:rsidRPr="00F47E6D">
        <w:rPr>
          <w:rFonts w:cs="Arial"/>
        </w:rPr>
        <w:t xml:space="preserve">council’s support for the project as well as its role in facilitating </w:t>
      </w:r>
      <w:r>
        <w:rPr>
          <w:rFonts w:cs="Arial"/>
        </w:rPr>
        <w:t xml:space="preserve">and promoting </w:t>
      </w:r>
      <w:r w:rsidRPr="00F47E6D">
        <w:rPr>
          <w:rFonts w:cs="Arial"/>
        </w:rPr>
        <w:t>effective community consultation.</w:t>
      </w:r>
    </w:p>
    <w:p w14:paraId="4598A392" w14:textId="77777777" w:rsidR="00947ED2" w:rsidRPr="00F47E6D" w:rsidRDefault="00947ED2" w:rsidP="00D35B01">
      <w:pPr>
        <w:pStyle w:val="ListParagraph"/>
        <w:numPr>
          <w:ilvl w:val="2"/>
          <w:numId w:val="8"/>
        </w:numPr>
        <w:ind w:hanging="720"/>
        <w:rPr>
          <w:rFonts w:cs="Arial"/>
        </w:rPr>
      </w:pPr>
      <w:r w:rsidRPr="00F47E6D">
        <w:rPr>
          <w:rFonts w:cs="Arial"/>
        </w:rPr>
        <w:t xml:space="preserve">Where possible, the developer should engage staff locally to </w:t>
      </w:r>
      <w:r>
        <w:rPr>
          <w:rFonts w:cs="Arial"/>
        </w:rPr>
        <w:t>lead</w:t>
      </w:r>
      <w:r w:rsidRPr="00F47E6D">
        <w:rPr>
          <w:rFonts w:cs="Arial"/>
        </w:rPr>
        <w:t xml:space="preserve"> community engagement activities and respond to community concerns and complaints.</w:t>
      </w:r>
    </w:p>
    <w:p w14:paraId="0BC7E957" w14:textId="77777777" w:rsidR="00947ED2" w:rsidRPr="00F47E6D" w:rsidRDefault="00947ED2" w:rsidP="00D35B01">
      <w:pPr>
        <w:pStyle w:val="ListParagraph"/>
        <w:numPr>
          <w:ilvl w:val="2"/>
          <w:numId w:val="8"/>
        </w:numPr>
        <w:ind w:hanging="720"/>
        <w:rPr>
          <w:rFonts w:cs="Arial"/>
        </w:rPr>
      </w:pPr>
      <w:r w:rsidRPr="00F47E6D">
        <w:rPr>
          <w:rFonts w:cs="Arial"/>
        </w:rPr>
        <w:t xml:space="preserve">Once </w:t>
      </w:r>
      <w:r>
        <w:rPr>
          <w:rFonts w:cs="Arial"/>
        </w:rPr>
        <w:t>a</w:t>
      </w:r>
      <w:r w:rsidRPr="00F47E6D">
        <w:rPr>
          <w:rFonts w:cs="Arial"/>
        </w:rPr>
        <w:t xml:space="preserve"> wind farm is in operation, the developer should continue to proactively provide information and updates about the wind farm and provide opportunities for the community to visit the wind farm (such as an ‘open day’).</w:t>
      </w:r>
    </w:p>
    <w:p w14:paraId="0F4F6528" w14:textId="29CA6F66" w:rsidR="00947ED2" w:rsidRPr="00F47E6D" w:rsidRDefault="00947ED2" w:rsidP="00D35B01">
      <w:pPr>
        <w:pStyle w:val="ListParagraph"/>
        <w:numPr>
          <w:ilvl w:val="2"/>
          <w:numId w:val="8"/>
        </w:numPr>
        <w:ind w:hanging="720"/>
        <w:rPr>
          <w:rFonts w:cs="Arial"/>
        </w:rPr>
      </w:pPr>
      <w:r w:rsidRPr="00F47E6D">
        <w:rPr>
          <w:rFonts w:cs="Arial"/>
        </w:rPr>
        <w:t xml:space="preserve">The developer should </w:t>
      </w:r>
      <w:r>
        <w:rPr>
          <w:rFonts w:cs="Arial"/>
        </w:rPr>
        <w:t xml:space="preserve">consider </w:t>
      </w:r>
      <w:r w:rsidRPr="00F47E6D">
        <w:rPr>
          <w:rFonts w:cs="Arial"/>
        </w:rPr>
        <w:t>establish</w:t>
      </w:r>
      <w:r>
        <w:rPr>
          <w:rFonts w:cs="Arial"/>
        </w:rPr>
        <w:t>ing</w:t>
      </w:r>
      <w:r w:rsidRPr="00F47E6D">
        <w:rPr>
          <w:rFonts w:cs="Arial"/>
        </w:rPr>
        <w:t xml:space="preserve"> and maintain</w:t>
      </w:r>
      <w:r>
        <w:rPr>
          <w:rFonts w:cs="Arial"/>
        </w:rPr>
        <w:t>ing</w:t>
      </w:r>
      <w:r w:rsidRPr="00F47E6D">
        <w:rPr>
          <w:rFonts w:cs="Arial"/>
        </w:rPr>
        <w:t xml:space="preserve"> a community engagement fund and ensure there is appropriate community involvement in the governance and management of the fund. </w:t>
      </w:r>
      <w:r>
        <w:rPr>
          <w:rFonts w:cs="Arial"/>
        </w:rPr>
        <w:t xml:space="preserve">In some jurisdictions, such a fund is mandated. </w:t>
      </w:r>
      <w:r w:rsidRPr="00F47E6D">
        <w:rPr>
          <w:rFonts w:cs="Arial"/>
        </w:rPr>
        <w:t>Th</w:t>
      </w:r>
      <w:r>
        <w:rPr>
          <w:rFonts w:cs="Arial"/>
        </w:rPr>
        <w:t xml:space="preserve">e fund </w:t>
      </w:r>
      <w:r w:rsidRPr="00F47E6D">
        <w:rPr>
          <w:rFonts w:cs="Arial"/>
        </w:rPr>
        <w:t xml:space="preserve">should </w:t>
      </w:r>
      <w:r>
        <w:rPr>
          <w:rFonts w:cs="Arial"/>
        </w:rPr>
        <w:t>allow for a</w:t>
      </w:r>
      <w:r w:rsidRPr="00F47E6D">
        <w:rPr>
          <w:rFonts w:cs="Arial"/>
        </w:rPr>
        <w:t>ppropriate opportunities for community originated submissions to obtain funding for project proposals. Prioritisation of funded projects that may be of benefit to those community members more directly affected by the presence of the wind farm should be encouraged.</w:t>
      </w:r>
      <w:r>
        <w:rPr>
          <w:rFonts w:cs="Arial"/>
        </w:rPr>
        <w:t xml:space="preserve"> The ‘community’ should clearly include and benefit community members that live in proximity to the wind farm</w:t>
      </w:r>
      <w:r w:rsidR="005F3366">
        <w:rPr>
          <w:rFonts w:cs="Arial"/>
        </w:rPr>
        <w:t xml:space="preserve"> rather than </w:t>
      </w:r>
      <w:r w:rsidR="00544265">
        <w:rPr>
          <w:rFonts w:cs="Arial"/>
        </w:rPr>
        <w:t xml:space="preserve">only supporting projects related to </w:t>
      </w:r>
      <w:r w:rsidR="005F3366">
        <w:rPr>
          <w:rFonts w:cs="Arial"/>
        </w:rPr>
        <w:t>a regional centre</w:t>
      </w:r>
      <w:r>
        <w:rPr>
          <w:rFonts w:cs="Arial"/>
        </w:rPr>
        <w:t>.</w:t>
      </w:r>
    </w:p>
    <w:p w14:paraId="73E86BFF" w14:textId="56205DFE" w:rsidR="00947ED2" w:rsidRPr="00F47E6D" w:rsidRDefault="00947ED2" w:rsidP="00D35B01">
      <w:pPr>
        <w:pStyle w:val="ListParagraph"/>
        <w:numPr>
          <w:ilvl w:val="2"/>
          <w:numId w:val="8"/>
        </w:numPr>
        <w:ind w:hanging="720"/>
        <w:rPr>
          <w:rFonts w:cs="Arial"/>
        </w:rPr>
      </w:pPr>
      <w:r w:rsidRPr="00F47E6D">
        <w:rPr>
          <w:rFonts w:cs="Arial"/>
        </w:rPr>
        <w:t xml:space="preserve">Stakeholders to the project, including the responsible authority, council, </w:t>
      </w:r>
      <w:r>
        <w:rPr>
          <w:rFonts w:cs="Arial"/>
        </w:rPr>
        <w:t xml:space="preserve">bankers, </w:t>
      </w:r>
      <w:r w:rsidRPr="00F47E6D">
        <w:rPr>
          <w:rFonts w:cs="Arial"/>
        </w:rPr>
        <w:t xml:space="preserve">investors and regulators, should </w:t>
      </w:r>
      <w:r>
        <w:rPr>
          <w:rFonts w:cs="Arial"/>
        </w:rPr>
        <w:t>seek relevant e</w:t>
      </w:r>
      <w:r w:rsidRPr="00F47E6D">
        <w:rPr>
          <w:rFonts w:cs="Arial"/>
        </w:rPr>
        <w:t xml:space="preserve">vidence of both the project’s community engagement plan and outcomes of the plan’s execution as part of any decisions or conditions the stakeholder may </w:t>
      </w:r>
      <w:r w:rsidR="00544265">
        <w:rPr>
          <w:rFonts w:cs="Arial"/>
        </w:rPr>
        <w:t xml:space="preserve">wish to </w:t>
      </w:r>
      <w:r w:rsidRPr="00F47E6D">
        <w:rPr>
          <w:rFonts w:cs="Arial"/>
        </w:rPr>
        <w:t>place on the project and developer.</w:t>
      </w:r>
    </w:p>
    <w:p w14:paraId="368405E1" w14:textId="7E5BD0DE" w:rsidR="00947ED2" w:rsidRPr="00F47E6D" w:rsidRDefault="00947ED2" w:rsidP="00D35B01">
      <w:pPr>
        <w:pStyle w:val="ListParagraph"/>
        <w:numPr>
          <w:ilvl w:val="2"/>
          <w:numId w:val="8"/>
        </w:numPr>
        <w:ind w:hanging="720"/>
        <w:rPr>
          <w:rFonts w:cs="Arial"/>
        </w:rPr>
      </w:pPr>
      <w:r w:rsidRPr="00F47E6D">
        <w:rPr>
          <w:rFonts w:cs="Arial"/>
        </w:rPr>
        <w:lastRenderedPageBreak/>
        <w:t>Industry bodies, such as the C</w:t>
      </w:r>
      <w:r>
        <w:rPr>
          <w:rFonts w:cs="Arial"/>
        </w:rPr>
        <w:t>lean Energy Council (C</w:t>
      </w:r>
      <w:r w:rsidRPr="00F47E6D">
        <w:rPr>
          <w:rFonts w:cs="Arial"/>
        </w:rPr>
        <w:t>EC</w:t>
      </w:r>
      <w:r>
        <w:rPr>
          <w:rFonts w:cs="Arial"/>
        </w:rPr>
        <w:t>)</w:t>
      </w:r>
      <w:r w:rsidRPr="00F47E6D">
        <w:rPr>
          <w:rFonts w:cs="Arial"/>
        </w:rPr>
        <w:t xml:space="preserve"> and the Australian Wind Alliance (AWA), should continue to promote effective community consultation </w:t>
      </w:r>
      <w:r w:rsidR="00544265">
        <w:rPr>
          <w:rFonts w:cs="Arial"/>
        </w:rPr>
        <w:t xml:space="preserve">engagement </w:t>
      </w:r>
      <w:r w:rsidRPr="00F47E6D">
        <w:rPr>
          <w:rFonts w:cs="Arial"/>
        </w:rPr>
        <w:t>and recognise</w:t>
      </w:r>
      <w:r w:rsidR="00544265">
        <w:rPr>
          <w:rFonts w:cs="Arial"/>
        </w:rPr>
        <w:t xml:space="preserve"> those</w:t>
      </w:r>
      <w:r w:rsidRPr="00F47E6D">
        <w:rPr>
          <w:rFonts w:cs="Arial"/>
        </w:rPr>
        <w:t xml:space="preserve"> industry members that are achieving excellence in positive community engagement outcomes.</w:t>
      </w:r>
      <w:r>
        <w:rPr>
          <w:rFonts w:cs="Arial"/>
        </w:rPr>
        <w:t xml:space="preserve"> Appropriate priority should be given to this topic when designing industry forum agendas. </w:t>
      </w:r>
    </w:p>
    <w:p w14:paraId="01E2667A" w14:textId="7D3D3B95" w:rsidR="00947ED2" w:rsidRDefault="00947ED2" w:rsidP="00D35B01">
      <w:pPr>
        <w:pStyle w:val="ListParagraph"/>
        <w:numPr>
          <w:ilvl w:val="2"/>
          <w:numId w:val="8"/>
        </w:numPr>
        <w:ind w:hanging="720"/>
        <w:rPr>
          <w:rFonts w:cs="Arial"/>
        </w:rPr>
      </w:pPr>
      <w:r w:rsidRPr="00F47E6D">
        <w:rPr>
          <w:rFonts w:cs="Arial"/>
        </w:rPr>
        <w:t xml:space="preserve">State governments </w:t>
      </w:r>
      <w:r>
        <w:rPr>
          <w:rFonts w:cs="Arial"/>
        </w:rPr>
        <w:t xml:space="preserve">can continue to play a key role by </w:t>
      </w:r>
      <w:r w:rsidRPr="00F47E6D">
        <w:rPr>
          <w:rFonts w:cs="Arial"/>
        </w:rPr>
        <w:t>prioritisation of promoting effective community engagement in wind energy projects</w:t>
      </w:r>
      <w:r>
        <w:rPr>
          <w:rFonts w:cs="Arial"/>
        </w:rPr>
        <w:t xml:space="preserve">. Examples include </w:t>
      </w:r>
      <w:r w:rsidRPr="00F47E6D">
        <w:rPr>
          <w:rFonts w:cs="Arial"/>
        </w:rPr>
        <w:t xml:space="preserve">initiatives such as demonstrable community engagement </w:t>
      </w:r>
      <w:r>
        <w:rPr>
          <w:rFonts w:cs="Arial"/>
        </w:rPr>
        <w:t>plans</w:t>
      </w:r>
      <w:r w:rsidRPr="00F47E6D">
        <w:rPr>
          <w:rFonts w:cs="Arial"/>
        </w:rPr>
        <w:t xml:space="preserve"> as key criteria for eligibility to be awarded </w:t>
      </w:r>
      <w:r>
        <w:rPr>
          <w:rFonts w:cs="Arial"/>
        </w:rPr>
        <w:t>State government ‘</w:t>
      </w:r>
      <w:r w:rsidRPr="00F47E6D">
        <w:rPr>
          <w:rFonts w:cs="Arial"/>
        </w:rPr>
        <w:t>feed in tariff</w:t>
      </w:r>
      <w:r>
        <w:rPr>
          <w:rFonts w:cs="Arial"/>
        </w:rPr>
        <w:t>’</w:t>
      </w:r>
      <w:r w:rsidRPr="00F47E6D">
        <w:rPr>
          <w:rFonts w:cs="Arial"/>
        </w:rPr>
        <w:t xml:space="preserve"> arrangements through to </w:t>
      </w:r>
      <w:r>
        <w:rPr>
          <w:rFonts w:cs="Arial"/>
        </w:rPr>
        <w:t xml:space="preserve">utilising </w:t>
      </w:r>
      <w:r w:rsidRPr="00F47E6D">
        <w:rPr>
          <w:rFonts w:cs="Arial"/>
        </w:rPr>
        <w:t>formal permit conditions.</w:t>
      </w:r>
    </w:p>
    <w:p w14:paraId="1B2C1C84" w14:textId="6A5ACCD7" w:rsidR="00657BCC" w:rsidRPr="00A627C1" w:rsidRDefault="00EC2BB5" w:rsidP="00A627C1">
      <w:pPr>
        <w:pStyle w:val="ListParagraph"/>
        <w:numPr>
          <w:ilvl w:val="2"/>
          <w:numId w:val="8"/>
        </w:numPr>
        <w:ind w:hanging="720"/>
        <w:rPr>
          <w:rFonts w:cs="Arial"/>
        </w:rPr>
      </w:pPr>
      <w:r w:rsidRPr="00544265">
        <w:t>Wind farm developers</w:t>
      </w:r>
      <w:r w:rsidR="0027687B" w:rsidRPr="00544265">
        <w:t xml:space="preserve"> should ensure that all contractors and other </w:t>
      </w:r>
      <w:r w:rsidR="00544265">
        <w:t xml:space="preserve">project </w:t>
      </w:r>
      <w:r w:rsidR="0027687B" w:rsidRPr="00544265">
        <w:t xml:space="preserve">stakeholders </w:t>
      </w:r>
      <w:r w:rsidRPr="00544265">
        <w:t xml:space="preserve">are aware of their responsibility to </w:t>
      </w:r>
      <w:r w:rsidR="00544265">
        <w:t xml:space="preserve">be involved in </w:t>
      </w:r>
      <w:r w:rsidR="0027687B" w:rsidRPr="00544265">
        <w:t xml:space="preserve">community </w:t>
      </w:r>
      <w:r w:rsidRPr="00544265">
        <w:t xml:space="preserve">engagement and </w:t>
      </w:r>
      <w:r w:rsidR="00544265">
        <w:t>minimise c</w:t>
      </w:r>
      <w:r w:rsidRPr="00544265">
        <w:t>ommunity impacts. If there are multiple infrastructure development projects occurring in a region, w</w:t>
      </w:r>
      <w:r w:rsidR="0027687B" w:rsidRPr="00544265">
        <w:t xml:space="preserve">ind farm developers should </w:t>
      </w:r>
      <w:r w:rsidRPr="00544265">
        <w:t xml:space="preserve">also </w:t>
      </w:r>
      <w:r w:rsidR="0027687B" w:rsidRPr="00544265">
        <w:t xml:space="preserve">be aware of potential cumulative impacts </w:t>
      </w:r>
      <w:r w:rsidRPr="00544265">
        <w:t xml:space="preserve">to a community </w:t>
      </w:r>
      <w:r w:rsidR="0027687B" w:rsidRPr="00544265">
        <w:t xml:space="preserve">and </w:t>
      </w:r>
      <w:r w:rsidRPr="00544265">
        <w:t xml:space="preserve">should liaise with local councils and other </w:t>
      </w:r>
      <w:r w:rsidR="0027687B" w:rsidRPr="00544265">
        <w:t xml:space="preserve">developers to </w:t>
      </w:r>
      <w:r w:rsidR="00544265">
        <w:t xml:space="preserve">proactively plan ahead so to </w:t>
      </w:r>
      <w:r w:rsidR="0027687B" w:rsidRPr="00544265">
        <w:t xml:space="preserve">avoid or minimise </w:t>
      </w:r>
      <w:r w:rsidR="00544265">
        <w:t>unnecessary</w:t>
      </w:r>
      <w:r w:rsidRPr="00544265">
        <w:t xml:space="preserve"> </w:t>
      </w:r>
      <w:r w:rsidR="0027687B" w:rsidRPr="00544265">
        <w:t>impact</w:t>
      </w:r>
      <w:r w:rsidR="00544265">
        <w:t xml:space="preserve"> on the community</w:t>
      </w:r>
      <w:r w:rsidR="0027687B" w:rsidRPr="00544265">
        <w:t>.</w:t>
      </w:r>
    </w:p>
    <w:p w14:paraId="658212B6" w14:textId="77777777" w:rsidR="00947ED2" w:rsidRPr="00F47E6D" w:rsidRDefault="00947ED2" w:rsidP="00D35B01">
      <w:pPr>
        <w:pStyle w:val="ListParagraph"/>
        <w:numPr>
          <w:ilvl w:val="0"/>
          <w:numId w:val="8"/>
        </w:numPr>
        <w:rPr>
          <w:rFonts w:cs="Arial"/>
          <w:b/>
        </w:rPr>
      </w:pPr>
      <w:r w:rsidRPr="00F47E6D">
        <w:rPr>
          <w:rFonts w:cs="Arial"/>
          <w:b/>
        </w:rPr>
        <w:t>Planning Permits</w:t>
      </w:r>
      <w:r>
        <w:rPr>
          <w:rFonts w:cs="Arial"/>
          <w:b/>
        </w:rPr>
        <w:t xml:space="preserve"> – Time Limits and Scope Changes</w:t>
      </w:r>
    </w:p>
    <w:p w14:paraId="4A14B965" w14:textId="77777777" w:rsidR="00947ED2" w:rsidRPr="00F47E6D" w:rsidRDefault="00947ED2" w:rsidP="00D35B01">
      <w:pPr>
        <w:pStyle w:val="ListParagraph"/>
        <w:numPr>
          <w:ilvl w:val="1"/>
          <w:numId w:val="8"/>
        </w:numPr>
        <w:rPr>
          <w:rFonts w:cs="Arial"/>
          <w:b/>
        </w:rPr>
      </w:pPr>
      <w:r w:rsidRPr="00F47E6D">
        <w:rPr>
          <w:rFonts w:cs="Arial"/>
          <w:b/>
        </w:rPr>
        <w:t>Observations</w:t>
      </w:r>
    </w:p>
    <w:p w14:paraId="18192A0A" w14:textId="77777777" w:rsidR="00947ED2" w:rsidRPr="00F47E6D" w:rsidRDefault="00947ED2" w:rsidP="00947ED2">
      <w:pPr>
        <w:pStyle w:val="ListParagraph"/>
        <w:numPr>
          <w:ilvl w:val="0"/>
          <w:numId w:val="0"/>
        </w:numPr>
        <w:ind w:left="360"/>
        <w:rPr>
          <w:rFonts w:cs="Arial"/>
        </w:rPr>
      </w:pPr>
      <w:r w:rsidRPr="00F47E6D">
        <w:rPr>
          <w:rFonts w:cs="Arial"/>
        </w:rPr>
        <w:t xml:space="preserve">Once approved, a wind farm planning permit is typically granted for a period of around five years. The developer then has that period of time to </w:t>
      </w:r>
      <w:r>
        <w:rPr>
          <w:rFonts w:cs="Arial"/>
        </w:rPr>
        <w:t xml:space="preserve">at least </w:t>
      </w:r>
      <w:r w:rsidRPr="00F47E6D">
        <w:rPr>
          <w:rFonts w:cs="Arial"/>
        </w:rPr>
        <w:t xml:space="preserve">commence and </w:t>
      </w:r>
      <w:r>
        <w:rPr>
          <w:rFonts w:cs="Arial"/>
        </w:rPr>
        <w:t xml:space="preserve">ideally </w:t>
      </w:r>
      <w:r w:rsidRPr="00F47E6D">
        <w:rPr>
          <w:rFonts w:cs="Arial"/>
        </w:rPr>
        <w:t xml:space="preserve">complete construction of the wind farm </w:t>
      </w:r>
      <w:r>
        <w:rPr>
          <w:rFonts w:cs="Arial"/>
        </w:rPr>
        <w:t>– con</w:t>
      </w:r>
      <w:r w:rsidRPr="00F47E6D">
        <w:rPr>
          <w:rFonts w:cs="Arial"/>
        </w:rPr>
        <w:t>sistent with</w:t>
      </w:r>
      <w:r>
        <w:rPr>
          <w:rFonts w:cs="Arial"/>
        </w:rPr>
        <w:t>in</w:t>
      </w:r>
      <w:r w:rsidRPr="00F47E6D">
        <w:rPr>
          <w:rFonts w:cs="Arial"/>
        </w:rPr>
        <w:t xml:space="preserve"> the permit </w:t>
      </w:r>
      <w:r>
        <w:rPr>
          <w:rFonts w:cs="Arial"/>
        </w:rPr>
        <w:t xml:space="preserve">requirements </w:t>
      </w:r>
      <w:r w:rsidRPr="00F47E6D">
        <w:rPr>
          <w:rFonts w:cs="Arial"/>
        </w:rPr>
        <w:t xml:space="preserve">and conditions. However, there have been numerous cases </w:t>
      </w:r>
      <w:r>
        <w:rPr>
          <w:rFonts w:cs="Arial"/>
        </w:rPr>
        <w:t xml:space="preserve">of wind farm projects </w:t>
      </w:r>
      <w:r w:rsidRPr="00F47E6D">
        <w:rPr>
          <w:rFonts w:cs="Arial"/>
        </w:rPr>
        <w:t>where the permit has been extended or renewed for further period</w:t>
      </w:r>
      <w:r>
        <w:rPr>
          <w:rFonts w:cs="Arial"/>
        </w:rPr>
        <w:t>s, often with changes to the wind farm’s design along the way</w:t>
      </w:r>
      <w:r w:rsidRPr="00F47E6D">
        <w:rPr>
          <w:rFonts w:cs="Arial"/>
        </w:rPr>
        <w:t>.</w:t>
      </w:r>
    </w:p>
    <w:p w14:paraId="186E8D03" w14:textId="42F35A7F" w:rsidR="00947ED2" w:rsidRPr="00F47E6D" w:rsidRDefault="00947ED2" w:rsidP="00947ED2">
      <w:pPr>
        <w:pStyle w:val="ListParagraph"/>
        <w:numPr>
          <w:ilvl w:val="0"/>
          <w:numId w:val="0"/>
        </w:numPr>
        <w:ind w:left="360"/>
        <w:rPr>
          <w:rFonts w:cs="Arial"/>
        </w:rPr>
      </w:pPr>
      <w:r w:rsidRPr="00A945B2">
        <w:rPr>
          <w:rFonts w:cs="Arial"/>
        </w:rPr>
        <w:t>As a hypothetical example, design and development activities for a proposed wind farm may have commenced in the 2001-2002 timeframe. In 2005, a</w:t>
      </w:r>
      <w:r>
        <w:rPr>
          <w:rFonts w:cs="Arial"/>
        </w:rPr>
        <w:t xml:space="preserve">n approval or planning </w:t>
      </w:r>
      <w:r w:rsidRPr="00A945B2">
        <w:rPr>
          <w:rFonts w:cs="Arial"/>
        </w:rPr>
        <w:t xml:space="preserve">permit with a five year expiry may have then been issued to the wind farm. If construction of the wind farm had not </w:t>
      </w:r>
      <w:r>
        <w:rPr>
          <w:rFonts w:cs="Arial"/>
        </w:rPr>
        <w:t xml:space="preserve">been completed </w:t>
      </w:r>
      <w:r w:rsidRPr="00A945B2">
        <w:rPr>
          <w:rFonts w:cs="Arial"/>
        </w:rPr>
        <w:t xml:space="preserve">by the time the approved permit expired in 2010, </w:t>
      </w:r>
      <w:r>
        <w:rPr>
          <w:rFonts w:cs="Arial"/>
        </w:rPr>
        <w:t xml:space="preserve">upon request by the developer, </w:t>
      </w:r>
      <w:r w:rsidRPr="00A945B2">
        <w:rPr>
          <w:rFonts w:cs="Arial"/>
        </w:rPr>
        <w:t xml:space="preserve">the planning authority may </w:t>
      </w:r>
      <w:r>
        <w:rPr>
          <w:rFonts w:cs="Arial"/>
        </w:rPr>
        <w:t>approve</w:t>
      </w:r>
      <w:r w:rsidRPr="00A945B2">
        <w:rPr>
          <w:rFonts w:cs="Arial"/>
        </w:rPr>
        <w:t xml:space="preserve"> the permit to be renewed for a further five years until 2015</w:t>
      </w:r>
      <w:r>
        <w:rPr>
          <w:rFonts w:cs="Arial"/>
        </w:rPr>
        <w:t>, with the renewal approval usually based on some level of commencement of the project</w:t>
      </w:r>
      <w:r w:rsidRPr="00A945B2">
        <w:rPr>
          <w:rFonts w:cs="Arial"/>
        </w:rPr>
        <w:t xml:space="preserve">. If the wind farm </w:t>
      </w:r>
      <w:r>
        <w:rPr>
          <w:rFonts w:cs="Arial"/>
        </w:rPr>
        <w:t xml:space="preserve">construction </w:t>
      </w:r>
      <w:r w:rsidRPr="00A945B2">
        <w:rPr>
          <w:rFonts w:cs="Arial"/>
        </w:rPr>
        <w:t xml:space="preserve">was then </w:t>
      </w:r>
      <w:r>
        <w:rPr>
          <w:rFonts w:cs="Arial"/>
        </w:rPr>
        <w:t xml:space="preserve">completed </w:t>
      </w:r>
      <w:r w:rsidR="00862BD1">
        <w:rPr>
          <w:rFonts w:cs="Arial"/>
        </w:rPr>
        <w:t xml:space="preserve">in </w:t>
      </w:r>
      <w:r w:rsidRPr="00A945B2">
        <w:rPr>
          <w:rFonts w:cs="Arial"/>
        </w:rPr>
        <w:t xml:space="preserve">2015, the results of post-construction </w:t>
      </w:r>
      <w:r>
        <w:rPr>
          <w:rFonts w:cs="Arial"/>
        </w:rPr>
        <w:t xml:space="preserve">compliance </w:t>
      </w:r>
      <w:r w:rsidRPr="00A945B2">
        <w:rPr>
          <w:rFonts w:cs="Arial"/>
        </w:rPr>
        <w:t>testing (such as noise-testing) may not be known until the 2016-2017 timeframe.</w:t>
      </w:r>
    </w:p>
    <w:p w14:paraId="64247B96" w14:textId="68574782" w:rsidR="00947ED2" w:rsidRPr="00F47E6D" w:rsidRDefault="00947ED2" w:rsidP="00947ED2">
      <w:pPr>
        <w:pStyle w:val="ListParagraph"/>
        <w:numPr>
          <w:ilvl w:val="0"/>
          <w:numId w:val="0"/>
        </w:numPr>
        <w:ind w:left="360"/>
        <w:rPr>
          <w:rFonts w:cs="Arial"/>
        </w:rPr>
      </w:pPr>
      <w:r w:rsidRPr="00F47E6D">
        <w:rPr>
          <w:rFonts w:cs="Arial"/>
        </w:rPr>
        <w:t xml:space="preserve">Therefore, it is feasible that a period spanning 15 years or more can occur between the original prospecting for the wind farm site and the wind farm being fully operational with </w:t>
      </w:r>
      <w:r>
        <w:rPr>
          <w:rFonts w:cs="Arial"/>
        </w:rPr>
        <w:t xml:space="preserve">post-construction </w:t>
      </w:r>
      <w:r w:rsidRPr="00F47E6D">
        <w:rPr>
          <w:rFonts w:cs="Arial"/>
        </w:rPr>
        <w:t xml:space="preserve">testing complete. </w:t>
      </w:r>
    </w:p>
    <w:p w14:paraId="66A61EFA" w14:textId="7D315358" w:rsidR="00947ED2" w:rsidRPr="00F47E6D" w:rsidRDefault="00947ED2" w:rsidP="00947ED2">
      <w:pPr>
        <w:pStyle w:val="ListParagraph"/>
        <w:numPr>
          <w:ilvl w:val="0"/>
          <w:numId w:val="0"/>
        </w:numPr>
        <w:ind w:left="360"/>
        <w:rPr>
          <w:rFonts w:cs="Arial"/>
        </w:rPr>
      </w:pPr>
      <w:r w:rsidRPr="00F47E6D">
        <w:rPr>
          <w:rFonts w:cs="Arial"/>
        </w:rPr>
        <w:t xml:space="preserve">Delays between </w:t>
      </w:r>
      <w:r>
        <w:rPr>
          <w:rFonts w:cs="Arial"/>
        </w:rPr>
        <w:t xml:space="preserve">the time of obtaining a </w:t>
      </w:r>
      <w:r w:rsidRPr="00F47E6D">
        <w:rPr>
          <w:rFonts w:cs="Arial"/>
        </w:rPr>
        <w:t xml:space="preserve">permit approval </w:t>
      </w:r>
      <w:r>
        <w:rPr>
          <w:rFonts w:cs="Arial"/>
        </w:rPr>
        <w:t xml:space="preserve">for a wind farm </w:t>
      </w:r>
      <w:r w:rsidRPr="00F47E6D">
        <w:rPr>
          <w:rFonts w:cs="Arial"/>
        </w:rPr>
        <w:t xml:space="preserve">and </w:t>
      </w:r>
      <w:r>
        <w:rPr>
          <w:rFonts w:cs="Arial"/>
        </w:rPr>
        <w:t xml:space="preserve">then the actual commencement of </w:t>
      </w:r>
      <w:r w:rsidRPr="00F47E6D">
        <w:rPr>
          <w:rFonts w:cs="Arial"/>
        </w:rPr>
        <w:t xml:space="preserve">construction </w:t>
      </w:r>
      <w:r>
        <w:rPr>
          <w:rFonts w:cs="Arial"/>
        </w:rPr>
        <w:t>works</w:t>
      </w:r>
      <w:r w:rsidRPr="00F47E6D">
        <w:rPr>
          <w:rFonts w:cs="Arial"/>
        </w:rPr>
        <w:t xml:space="preserve"> can occur for a variety of reasons</w:t>
      </w:r>
      <w:r w:rsidR="004B710C">
        <w:rPr>
          <w:rFonts w:cs="Arial"/>
        </w:rPr>
        <w:t xml:space="preserve"> – </w:t>
      </w:r>
      <w:r w:rsidRPr="00F47E6D">
        <w:rPr>
          <w:rFonts w:cs="Arial"/>
        </w:rPr>
        <w:t>typical</w:t>
      </w:r>
      <w:r w:rsidR="004B710C">
        <w:rPr>
          <w:rFonts w:cs="Arial"/>
        </w:rPr>
        <w:t xml:space="preserve"> </w:t>
      </w:r>
      <w:r w:rsidRPr="00F47E6D">
        <w:rPr>
          <w:rFonts w:cs="Arial"/>
        </w:rPr>
        <w:t xml:space="preserve">reasons </w:t>
      </w:r>
      <w:r>
        <w:rPr>
          <w:rFonts w:cs="Arial"/>
        </w:rPr>
        <w:t xml:space="preserve">include changes in turbine selection and turbine layout, </w:t>
      </w:r>
      <w:r w:rsidRPr="00F47E6D">
        <w:rPr>
          <w:rFonts w:cs="Arial"/>
        </w:rPr>
        <w:t xml:space="preserve">delays in obtaining financial close </w:t>
      </w:r>
      <w:r>
        <w:rPr>
          <w:rFonts w:cs="Arial"/>
        </w:rPr>
        <w:t xml:space="preserve">and </w:t>
      </w:r>
      <w:r w:rsidRPr="00F47E6D">
        <w:rPr>
          <w:rFonts w:cs="Arial"/>
        </w:rPr>
        <w:t xml:space="preserve">changes in </w:t>
      </w:r>
      <w:r>
        <w:rPr>
          <w:rFonts w:cs="Arial"/>
        </w:rPr>
        <w:t xml:space="preserve">government </w:t>
      </w:r>
      <w:r w:rsidRPr="00F47E6D">
        <w:rPr>
          <w:rFonts w:cs="Arial"/>
        </w:rPr>
        <w:t>policy.</w:t>
      </w:r>
    </w:p>
    <w:p w14:paraId="0DFF55D5" w14:textId="77777777" w:rsidR="00947ED2" w:rsidRPr="00F47E6D" w:rsidRDefault="00947ED2" w:rsidP="00947ED2">
      <w:pPr>
        <w:pStyle w:val="ListParagraph"/>
        <w:numPr>
          <w:ilvl w:val="0"/>
          <w:numId w:val="0"/>
        </w:numPr>
        <w:ind w:left="360"/>
        <w:rPr>
          <w:rFonts w:cs="Arial"/>
        </w:rPr>
      </w:pPr>
      <w:r w:rsidRPr="00F47E6D">
        <w:rPr>
          <w:rFonts w:cs="Arial"/>
        </w:rPr>
        <w:t>These lengthy timeframes for a wind farm project are significant and can raise a number of issues for consideration, including:</w:t>
      </w:r>
    </w:p>
    <w:p w14:paraId="178C8D45" w14:textId="0CE39E52" w:rsidR="00947ED2" w:rsidRDefault="00947ED2" w:rsidP="00D35B01">
      <w:pPr>
        <w:pStyle w:val="ListParagraph"/>
        <w:numPr>
          <w:ilvl w:val="0"/>
          <w:numId w:val="12"/>
        </w:numPr>
        <w:rPr>
          <w:rFonts w:cs="Arial"/>
        </w:rPr>
      </w:pPr>
      <w:r w:rsidRPr="00F47E6D">
        <w:rPr>
          <w:rFonts w:cs="Arial"/>
        </w:rPr>
        <w:t>Standards, such a</w:t>
      </w:r>
      <w:r w:rsidR="00862BD1">
        <w:rPr>
          <w:rFonts w:cs="Arial"/>
        </w:rPr>
        <w:t>s</w:t>
      </w:r>
      <w:r w:rsidRPr="00F47E6D">
        <w:rPr>
          <w:rFonts w:cs="Arial"/>
        </w:rPr>
        <w:t xml:space="preserve"> noise standards, may change over the course of the development process. For example, at the time of initial project development, the project and permit conditions may have been based on the NZS 6808:1998 noise standard. Although the standards may have been revised in the ensuing period, the project and permit will still be based on the 1998 </w:t>
      </w:r>
      <w:r w:rsidRPr="00F47E6D">
        <w:rPr>
          <w:rFonts w:cs="Arial"/>
        </w:rPr>
        <w:lastRenderedPageBreak/>
        <w:t xml:space="preserve">standard, rather than the updated </w:t>
      </w:r>
      <w:r>
        <w:rPr>
          <w:rFonts w:cs="Arial"/>
        </w:rPr>
        <w:t>NZS 6808:</w:t>
      </w:r>
      <w:r w:rsidRPr="00F47E6D">
        <w:rPr>
          <w:rFonts w:cs="Arial"/>
        </w:rPr>
        <w:t>2010 noise standard</w:t>
      </w:r>
      <w:r>
        <w:rPr>
          <w:rFonts w:cs="Arial"/>
        </w:rPr>
        <w:t xml:space="preserve"> – even </w:t>
      </w:r>
      <w:r w:rsidRPr="00F47E6D">
        <w:rPr>
          <w:rFonts w:cs="Arial"/>
        </w:rPr>
        <w:t>though the wind farm may have been built more than 15 years after the initial project</w:t>
      </w:r>
      <w:r>
        <w:rPr>
          <w:rFonts w:cs="Arial"/>
        </w:rPr>
        <w:t>’s</w:t>
      </w:r>
      <w:r w:rsidRPr="00F47E6D">
        <w:rPr>
          <w:rFonts w:cs="Arial"/>
        </w:rPr>
        <w:t xml:space="preserve"> development.</w:t>
      </w:r>
    </w:p>
    <w:p w14:paraId="06144F16" w14:textId="749E16E7" w:rsidR="00947ED2" w:rsidRPr="00F47E6D" w:rsidRDefault="00947ED2" w:rsidP="00D35B01">
      <w:pPr>
        <w:pStyle w:val="ListParagraph"/>
        <w:numPr>
          <w:ilvl w:val="0"/>
          <w:numId w:val="12"/>
        </w:numPr>
        <w:rPr>
          <w:rFonts w:cs="Arial"/>
        </w:rPr>
      </w:pPr>
      <w:r>
        <w:rPr>
          <w:rFonts w:cs="Arial"/>
        </w:rPr>
        <w:t>Setback distance</w:t>
      </w:r>
      <w:r w:rsidR="009A49E2">
        <w:rPr>
          <w:rFonts w:cs="Arial"/>
        </w:rPr>
        <w:t>s</w:t>
      </w:r>
      <w:r>
        <w:rPr>
          <w:rFonts w:cs="Arial"/>
        </w:rPr>
        <w:t xml:space="preserve"> </w:t>
      </w:r>
      <w:r w:rsidR="00C968A8">
        <w:rPr>
          <w:rFonts w:cs="Arial"/>
        </w:rPr>
        <w:t xml:space="preserve">policies </w:t>
      </w:r>
      <w:r>
        <w:rPr>
          <w:rFonts w:cs="Arial"/>
        </w:rPr>
        <w:t xml:space="preserve">(the minimum distance between a turbine and a residence) can also vary over time. As an example, a number of Victorian wind farms with current, renewed permits have no default setback distance provisions as the original permit was approved in the previous decade. </w:t>
      </w:r>
      <w:r w:rsidR="009A49E2">
        <w:rPr>
          <w:rFonts w:cs="Arial"/>
        </w:rPr>
        <w:t>Prior to 2011, there were no default setback distance requirements in</w:t>
      </w:r>
      <w:r w:rsidR="00D22429">
        <w:rPr>
          <w:rFonts w:cs="Arial"/>
        </w:rPr>
        <w:t xml:space="preserve"> Victoria. In 2011, a 2.0 km set</w:t>
      </w:r>
      <w:r w:rsidR="009A49E2">
        <w:rPr>
          <w:rFonts w:cs="Arial"/>
        </w:rPr>
        <w:t>back distance w</w:t>
      </w:r>
      <w:r w:rsidR="00C968A8">
        <w:rPr>
          <w:rFonts w:cs="Arial"/>
        </w:rPr>
        <w:t>as introduced.</w:t>
      </w:r>
      <w:r w:rsidR="009A49E2">
        <w:rPr>
          <w:rFonts w:cs="Arial"/>
        </w:rPr>
        <w:t xml:space="preserve"> </w:t>
      </w:r>
      <w:r>
        <w:rPr>
          <w:rFonts w:cs="Arial"/>
        </w:rPr>
        <w:t>The current default setback distance on Victoria is 1.0</w:t>
      </w:r>
      <w:r w:rsidR="00D22429">
        <w:rPr>
          <w:rFonts w:cs="Arial"/>
        </w:rPr>
        <w:t xml:space="preserve"> </w:t>
      </w:r>
      <w:r>
        <w:rPr>
          <w:rFonts w:cs="Arial"/>
        </w:rPr>
        <w:t>km.</w:t>
      </w:r>
    </w:p>
    <w:p w14:paraId="542AA940" w14:textId="77777777" w:rsidR="00947ED2" w:rsidRPr="00F47E6D" w:rsidRDefault="00947ED2" w:rsidP="00D35B01">
      <w:pPr>
        <w:pStyle w:val="ListParagraph"/>
        <w:numPr>
          <w:ilvl w:val="0"/>
          <w:numId w:val="12"/>
        </w:numPr>
        <w:rPr>
          <w:rFonts w:cs="Arial"/>
        </w:rPr>
      </w:pPr>
      <w:r w:rsidRPr="00F47E6D">
        <w:rPr>
          <w:rFonts w:cs="Arial"/>
        </w:rPr>
        <w:t>Changes in standards and planning guidelines could therefore conceivably take many years before they are introduced and reflected in</w:t>
      </w:r>
      <w:r>
        <w:rPr>
          <w:rFonts w:cs="Arial"/>
        </w:rPr>
        <w:t>to</w:t>
      </w:r>
      <w:r w:rsidRPr="00F47E6D">
        <w:rPr>
          <w:rFonts w:cs="Arial"/>
        </w:rPr>
        <w:t xml:space="preserve"> planning permits for proposed wind farms.</w:t>
      </w:r>
    </w:p>
    <w:p w14:paraId="03ABE72D" w14:textId="3A9FEA22" w:rsidR="00947ED2" w:rsidRPr="00F47E6D" w:rsidRDefault="00947ED2" w:rsidP="00D35B01">
      <w:pPr>
        <w:pStyle w:val="ListParagraph"/>
        <w:numPr>
          <w:ilvl w:val="0"/>
          <w:numId w:val="12"/>
        </w:numPr>
        <w:rPr>
          <w:rFonts w:cs="Arial"/>
        </w:rPr>
      </w:pPr>
      <w:r w:rsidRPr="00F47E6D">
        <w:rPr>
          <w:rFonts w:cs="Arial"/>
        </w:rPr>
        <w:t xml:space="preserve">Technology, such as wind turbines, may </w:t>
      </w:r>
      <w:r>
        <w:rPr>
          <w:rFonts w:cs="Arial"/>
        </w:rPr>
        <w:t xml:space="preserve">also </w:t>
      </w:r>
      <w:r w:rsidRPr="00F47E6D">
        <w:rPr>
          <w:rFonts w:cs="Arial"/>
        </w:rPr>
        <w:t xml:space="preserve">change over the project timeframe. The original project design and permit conditions may have been based on turbines of a certain energy capacity (for example, </w:t>
      </w:r>
      <w:r>
        <w:rPr>
          <w:rFonts w:cs="Arial"/>
        </w:rPr>
        <w:t xml:space="preserve">the original turbine may have been 1.5MW, whereas the developer now wishes to deploy 3.5MW </w:t>
      </w:r>
      <w:r w:rsidRPr="00F47E6D">
        <w:rPr>
          <w:rFonts w:cs="Arial"/>
        </w:rPr>
        <w:t>turbine</w:t>
      </w:r>
      <w:r>
        <w:rPr>
          <w:rFonts w:cs="Arial"/>
        </w:rPr>
        <w:t>s</w:t>
      </w:r>
      <w:r w:rsidRPr="00F47E6D">
        <w:rPr>
          <w:rFonts w:cs="Arial"/>
        </w:rPr>
        <w:t xml:space="preserve">) and physical size </w:t>
      </w:r>
      <w:r>
        <w:rPr>
          <w:rFonts w:cs="Arial"/>
        </w:rPr>
        <w:t xml:space="preserve">dimensions </w:t>
      </w:r>
      <w:r w:rsidRPr="00F47E6D">
        <w:rPr>
          <w:rFonts w:cs="Arial"/>
        </w:rPr>
        <w:t xml:space="preserve">(for example, </w:t>
      </w:r>
      <w:r>
        <w:rPr>
          <w:rFonts w:cs="Arial"/>
        </w:rPr>
        <w:t xml:space="preserve">higher </w:t>
      </w:r>
      <w:r w:rsidRPr="00F47E6D">
        <w:rPr>
          <w:rFonts w:cs="Arial"/>
        </w:rPr>
        <w:t>turbine hub height</w:t>
      </w:r>
      <w:r>
        <w:rPr>
          <w:rFonts w:cs="Arial"/>
        </w:rPr>
        <w:t>s</w:t>
      </w:r>
      <w:r w:rsidRPr="00F47E6D">
        <w:rPr>
          <w:rFonts w:cs="Arial"/>
        </w:rPr>
        <w:t xml:space="preserve"> and </w:t>
      </w:r>
      <w:r>
        <w:rPr>
          <w:rFonts w:cs="Arial"/>
        </w:rPr>
        <w:t xml:space="preserve">longer </w:t>
      </w:r>
      <w:r w:rsidRPr="00F47E6D">
        <w:rPr>
          <w:rFonts w:cs="Arial"/>
        </w:rPr>
        <w:t>blade diameter</w:t>
      </w:r>
      <w:r>
        <w:rPr>
          <w:rFonts w:cs="Arial"/>
        </w:rPr>
        <w:t>s</w:t>
      </w:r>
      <w:r w:rsidRPr="00F47E6D">
        <w:rPr>
          <w:rFonts w:cs="Arial"/>
        </w:rPr>
        <w:t xml:space="preserve">). </w:t>
      </w:r>
      <w:r>
        <w:rPr>
          <w:rFonts w:cs="Arial"/>
        </w:rPr>
        <w:t>As a result, t</w:t>
      </w:r>
      <w:r w:rsidRPr="00F47E6D">
        <w:rPr>
          <w:rFonts w:cs="Arial"/>
        </w:rPr>
        <w:t xml:space="preserve">he developer </w:t>
      </w:r>
      <w:r>
        <w:rPr>
          <w:rFonts w:cs="Arial"/>
        </w:rPr>
        <w:t xml:space="preserve">may decide to take advantage of the new technology and propose to </w:t>
      </w:r>
      <w:r w:rsidRPr="00F47E6D">
        <w:rPr>
          <w:rFonts w:cs="Arial"/>
        </w:rPr>
        <w:t>change turbine selection over time, potentially altering a number of material characteristics and impacts of the wind farm</w:t>
      </w:r>
      <w:r>
        <w:rPr>
          <w:rFonts w:cs="Arial"/>
        </w:rPr>
        <w:t xml:space="preserve"> – in</w:t>
      </w:r>
      <w:r w:rsidRPr="00F47E6D">
        <w:rPr>
          <w:rFonts w:cs="Arial"/>
        </w:rPr>
        <w:t>cluding turbine layout, visual amenity, noise and shadow flicker</w:t>
      </w:r>
      <w:r>
        <w:rPr>
          <w:rFonts w:cs="Arial"/>
        </w:rPr>
        <w:t>. These changes will likely result in the need for a formal modification (or endorsement) to the planning permit, re-opening the wind farm to potential objections and community concerns about the proposed changes. The process may well re-ignite original debates and issues with the project.</w:t>
      </w:r>
    </w:p>
    <w:p w14:paraId="74D0648A" w14:textId="6CBFB44F" w:rsidR="00947ED2" w:rsidRPr="00F47E6D" w:rsidRDefault="00947ED2" w:rsidP="00D35B01">
      <w:pPr>
        <w:pStyle w:val="ListParagraph"/>
        <w:numPr>
          <w:ilvl w:val="0"/>
          <w:numId w:val="12"/>
        </w:numPr>
        <w:rPr>
          <w:rFonts w:cs="Arial"/>
        </w:rPr>
      </w:pPr>
      <w:r w:rsidRPr="00F47E6D">
        <w:rPr>
          <w:rFonts w:cs="Arial"/>
        </w:rPr>
        <w:t xml:space="preserve">The requirements </w:t>
      </w:r>
      <w:r w:rsidR="009A7FCF">
        <w:rPr>
          <w:rFonts w:cs="Arial"/>
        </w:rPr>
        <w:t xml:space="preserve">on the developer to qualify for renewal of the </w:t>
      </w:r>
      <w:r>
        <w:rPr>
          <w:rFonts w:cs="Arial"/>
        </w:rPr>
        <w:t>permit</w:t>
      </w:r>
      <w:r w:rsidR="009A7FCF">
        <w:rPr>
          <w:rFonts w:cs="Arial"/>
        </w:rPr>
        <w:t xml:space="preserve"> </w:t>
      </w:r>
      <w:r w:rsidRPr="00F47E6D">
        <w:rPr>
          <w:rFonts w:cs="Arial"/>
        </w:rPr>
        <w:t xml:space="preserve">for a further period may be minor </w:t>
      </w:r>
      <w:r>
        <w:rPr>
          <w:rFonts w:cs="Arial"/>
        </w:rPr>
        <w:t xml:space="preserve">relative to the total project scope </w:t>
      </w:r>
      <w:r w:rsidRPr="00F47E6D">
        <w:rPr>
          <w:rFonts w:cs="Arial"/>
        </w:rPr>
        <w:t xml:space="preserve">(for example, the building of a </w:t>
      </w:r>
      <w:r w:rsidR="00582332">
        <w:rPr>
          <w:rFonts w:cs="Arial"/>
        </w:rPr>
        <w:t xml:space="preserve">simple </w:t>
      </w:r>
      <w:r w:rsidRPr="00F47E6D">
        <w:rPr>
          <w:rFonts w:cs="Arial"/>
        </w:rPr>
        <w:t>shed or road</w:t>
      </w:r>
      <w:r w:rsidR="00582332">
        <w:rPr>
          <w:rFonts w:cs="Arial"/>
        </w:rPr>
        <w:t xml:space="preserve"> access to the site – so </w:t>
      </w:r>
      <w:r w:rsidRPr="00F47E6D">
        <w:rPr>
          <w:rFonts w:cs="Arial"/>
        </w:rPr>
        <w:t xml:space="preserve">to demonstrate some level of </w:t>
      </w:r>
      <w:r>
        <w:rPr>
          <w:rFonts w:cs="Arial"/>
        </w:rPr>
        <w:t>commitment</w:t>
      </w:r>
      <w:r w:rsidR="009A7FCF">
        <w:rPr>
          <w:rFonts w:cs="Arial"/>
        </w:rPr>
        <w:t xml:space="preserve"> to construct the project</w:t>
      </w:r>
      <w:r w:rsidRPr="00F47E6D">
        <w:rPr>
          <w:rFonts w:cs="Arial"/>
        </w:rPr>
        <w:t>). These</w:t>
      </w:r>
      <w:r w:rsidR="00582332">
        <w:rPr>
          <w:rFonts w:cs="Arial"/>
        </w:rPr>
        <w:t xml:space="preserve"> relatively minor works, when compared to the total proposed project, may not be </w:t>
      </w:r>
      <w:r w:rsidRPr="00F47E6D">
        <w:rPr>
          <w:rFonts w:cs="Arial"/>
        </w:rPr>
        <w:t xml:space="preserve">considered substantial enough to declare that the project has </w:t>
      </w:r>
      <w:r>
        <w:rPr>
          <w:rFonts w:cs="Arial"/>
        </w:rPr>
        <w:t xml:space="preserve">materially </w:t>
      </w:r>
      <w:r w:rsidRPr="00F47E6D">
        <w:rPr>
          <w:rFonts w:cs="Arial"/>
        </w:rPr>
        <w:t>commenced within the permitted timeframe</w:t>
      </w:r>
      <w:r>
        <w:rPr>
          <w:rFonts w:cs="Arial"/>
        </w:rPr>
        <w:t xml:space="preserve"> </w:t>
      </w:r>
      <w:r w:rsidR="00582332">
        <w:rPr>
          <w:rFonts w:cs="Arial"/>
        </w:rPr>
        <w:t>nor obligate the project in a way that it has</w:t>
      </w:r>
      <w:r>
        <w:rPr>
          <w:rFonts w:cs="Arial"/>
        </w:rPr>
        <w:t xml:space="preserve"> no choice but to proceed</w:t>
      </w:r>
      <w:r w:rsidRPr="00F47E6D">
        <w:rPr>
          <w:rFonts w:cs="Arial"/>
        </w:rPr>
        <w:t>.</w:t>
      </w:r>
    </w:p>
    <w:p w14:paraId="79ADEF00" w14:textId="77777777" w:rsidR="00947ED2" w:rsidRPr="00F47E6D" w:rsidRDefault="00947ED2" w:rsidP="00D35B01">
      <w:pPr>
        <w:pStyle w:val="ListParagraph"/>
        <w:numPr>
          <w:ilvl w:val="0"/>
          <w:numId w:val="12"/>
        </w:numPr>
        <w:rPr>
          <w:rFonts w:cs="Arial"/>
        </w:rPr>
      </w:pPr>
      <w:r w:rsidRPr="00F47E6D">
        <w:rPr>
          <w:rFonts w:cs="Arial"/>
        </w:rPr>
        <w:t xml:space="preserve">The community affected by the wind farm </w:t>
      </w:r>
      <w:r>
        <w:rPr>
          <w:rFonts w:cs="Arial"/>
        </w:rPr>
        <w:t xml:space="preserve">(including host landowners and neighbours) </w:t>
      </w:r>
      <w:r w:rsidRPr="00F47E6D">
        <w:rPr>
          <w:rFonts w:cs="Arial"/>
        </w:rPr>
        <w:t xml:space="preserve">can be subjected to </w:t>
      </w:r>
      <w:r>
        <w:rPr>
          <w:rFonts w:cs="Arial"/>
        </w:rPr>
        <w:t xml:space="preserve">very </w:t>
      </w:r>
      <w:r w:rsidRPr="00F47E6D">
        <w:rPr>
          <w:rFonts w:cs="Arial"/>
        </w:rPr>
        <w:t>long period</w:t>
      </w:r>
      <w:r>
        <w:rPr>
          <w:rFonts w:cs="Arial"/>
        </w:rPr>
        <w:t>s</w:t>
      </w:r>
      <w:r w:rsidRPr="00F47E6D">
        <w:rPr>
          <w:rFonts w:cs="Arial"/>
        </w:rPr>
        <w:t xml:space="preserve"> of uncertainty as to whether or not the project will proceed. This</w:t>
      </w:r>
      <w:r>
        <w:rPr>
          <w:rFonts w:cs="Arial"/>
        </w:rPr>
        <w:t xml:space="preserve"> uncertainty </w:t>
      </w:r>
      <w:r w:rsidRPr="00F47E6D">
        <w:rPr>
          <w:rFonts w:cs="Arial"/>
        </w:rPr>
        <w:t xml:space="preserve">can affect a range of individual </w:t>
      </w:r>
      <w:r>
        <w:rPr>
          <w:rFonts w:cs="Arial"/>
        </w:rPr>
        <w:t xml:space="preserve">landowner and stakeholder </w:t>
      </w:r>
      <w:r w:rsidRPr="00F47E6D">
        <w:rPr>
          <w:rFonts w:cs="Arial"/>
        </w:rPr>
        <w:t>decisions a</w:t>
      </w:r>
      <w:r>
        <w:rPr>
          <w:rFonts w:cs="Arial"/>
        </w:rPr>
        <w:t xml:space="preserve">s well as </w:t>
      </w:r>
      <w:r w:rsidRPr="00F47E6D">
        <w:rPr>
          <w:rFonts w:cs="Arial"/>
        </w:rPr>
        <w:t xml:space="preserve">discourage </w:t>
      </w:r>
      <w:r>
        <w:rPr>
          <w:rFonts w:cs="Arial"/>
        </w:rPr>
        <w:t xml:space="preserve">or prevent </w:t>
      </w:r>
      <w:r w:rsidRPr="00F47E6D">
        <w:rPr>
          <w:rFonts w:cs="Arial"/>
        </w:rPr>
        <w:t>other potential development within the wind farm’s planning envelope.</w:t>
      </w:r>
    </w:p>
    <w:p w14:paraId="20B6D05B" w14:textId="7A9BD281" w:rsidR="00947ED2" w:rsidRPr="00F47E6D" w:rsidRDefault="00947ED2" w:rsidP="00D35B01">
      <w:pPr>
        <w:pStyle w:val="ListParagraph"/>
        <w:numPr>
          <w:ilvl w:val="0"/>
          <w:numId w:val="12"/>
        </w:numPr>
        <w:rPr>
          <w:rFonts w:cs="Arial"/>
        </w:rPr>
      </w:pPr>
      <w:r w:rsidRPr="00F47E6D">
        <w:rPr>
          <w:rFonts w:cs="Arial"/>
        </w:rPr>
        <w:t xml:space="preserve">Community engagement may also not be sustained by the developer </w:t>
      </w:r>
      <w:r w:rsidR="0061509B">
        <w:rPr>
          <w:rFonts w:cs="Arial"/>
        </w:rPr>
        <w:t xml:space="preserve">over long periods of uncertainty </w:t>
      </w:r>
      <w:r w:rsidRPr="00F47E6D">
        <w:rPr>
          <w:rFonts w:cs="Arial"/>
        </w:rPr>
        <w:t>and may deteriorate during the elongated period.</w:t>
      </w:r>
    </w:p>
    <w:p w14:paraId="162F9D53" w14:textId="77777777" w:rsidR="00F63C36" w:rsidRDefault="00947ED2" w:rsidP="00D35B01">
      <w:pPr>
        <w:pStyle w:val="ListParagraph"/>
        <w:numPr>
          <w:ilvl w:val="0"/>
          <w:numId w:val="12"/>
        </w:numPr>
        <w:rPr>
          <w:rFonts w:cs="Arial"/>
        </w:rPr>
      </w:pPr>
      <w:r>
        <w:rPr>
          <w:rFonts w:cs="Arial"/>
        </w:rPr>
        <w:t>During an elongated development cycle, o</w:t>
      </w:r>
      <w:r w:rsidRPr="00F47E6D">
        <w:rPr>
          <w:rFonts w:cs="Arial"/>
        </w:rPr>
        <w:t xml:space="preserve">ther wind farms may have been subsequently planned and/or constructed in the area, which may result in possible </w:t>
      </w:r>
      <w:r w:rsidR="0061509B">
        <w:rPr>
          <w:rFonts w:cs="Arial"/>
        </w:rPr>
        <w:t xml:space="preserve">unforeseen </w:t>
      </w:r>
      <w:r w:rsidRPr="00F47E6D">
        <w:rPr>
          <w:rFonts w:cs="Arial"/>
        </w:rPr>
        <w:t>cumulative impacts for nearby residents.</w:t>
      </w:r>
    </w:p>
    <w:p w14:paraId="54C525C2" w14:textId="4EC24620" w:rsidR="00F63C36" w:rsidRDefault="00F63C36" w:rsidP="00F63C36">
      <w:pPr>
        <w:ind w:left="360"/>
        <w:rPr>
          <w:rFonts w:cs="Arial"/>
        </w:rPr>
      </w:pPr>
      <w:r>
        <w:rPr>
          <w:rFonts w:cs="Arial"/>
        </w:rPr>
        <w:t xml:space="preserve">Finally, in some jurisdictions, planning permits are not required for transmission and other associated infrastructure to connect the wind farm to the grid.  This lack of oversight can lead to a wide range of community issues </w:t>
      </w:r>
      <w:r w:rsidR="00437F6B">
        <w:rPr>
          <w:rFonts w:cs="Arial"/>
        </w:rPr>
        <w:t xml:space="preserve">related to </w:t>
      </w:r>
      <w:r>
        <w:rPr>
          <w:rFonts w:cs="Arial"/>
        </w:rPr>
        <w:t>the design</w:t>
      </w:r>
      <w:r w:rsidR="00437F6B">
        <w:rPr>
          <w:rFonts w:cs="Arial"/>
        </w:rPr>
        <w:t>,</w:t>
      </w:r>
      <w:r>
        <w:rPr>
          <w:rFonts w:cs="Arial"/>
        </w:rPr>
        <w:t xml:space="preserve"> routing </w:t>
      </w:r>
      <w:r w:rsidR="00437F6B">
        <w:rPr>
          <w:rFonts w:cs="Arial"/>
        </w:rPr>
        <w:t xml:space="preserve">and installation </w:t>
      </w:r>
      <w:r>
        <w:rPr>
          <w:rFonts w:cs="Arial"/>
        </w:rPr>
        <w:t>of the transmission line</w:t>
      </w:r>
      <w:r w:rsidR="00437F6B">
        <w:rPr>
          <w:rFonts w:cs="Arial"/>
        </w:rPr>
        <w:t xml:space="preserve"> and related assets</w:t>
      </w:r>
      <w:r>
        <w:rPr>
          <w:rFonts w:cs="Arial"/>
        </w:rPr>
        <w:t>.  The prospect also exists for duplicative assets connecting each wind farm to the grid with no mandatory requirement to seek consolidation of such assets</w:t>
      </w:r>
      <w:r w:rsidR="00437F6B">
        <w:rPr>
          <w:rFonts w:cs="Arial"/>
        </w:rPr>
        <w:t xml:space="preserve"> to minimise community impact and promote a more efficient use of capital.</w:t>
      </w:r>
    </w:p>
    <w:p w14:paraId="2A4660B0" w14:textId="77777777" w:rsidR="00F63C36" w:rsidRDefault="00F63C36" w:rsidP="00F63C36">
      <w:pPr>
        <w:ind w:left="360"/>
        <w:rPr>
          <w:rFonts w:cs="Arial"/>
        </w:rPr>
      </w:pPr>
    </w:p>
    <w:p w14:paraId="2064088E" w14:textId="53E9212B" w:rsidR="00947ED2" w:rsidRPr="00F63C36" w:rsidRDefault="00947ED2" w:rsidP="00657BCC">
      <w:pPr>
        <w:rPr>
          <w:rFonts w:cs="Arial"/>
        </w:rPr>
      </w:pPr>
    </w:p>
    <w:p w14:paraId="38A8ECBA" w14:textId="77777777" w:rsidR="00947ED2" w:rsidRPr="00F47E6D" w:rsidRDefault="00947ED2" w:rsidP="00D35B01">
      <w:pPr>
        <w:pStyle w:val="ListParagraph"/>
        <w:numPr>
          <w:ilvl w:val="1"/>
          <w:numId w:val="8"/>
        </w:numPr>
        <w:rPr>
          <w:rFonts w:cs="Arial"/>
          <w:b/>
        </w:rPr>
      </w:pPr>
      <w:r w:rsidRPr="00F47E6D">
        <w:rPr>
          <w:rFonts w:cs="Arial"/>
          <w:b/>
        </w:rPr>
        <w:lastRenderedPageBreak/>
        <w:t>Recommendations</w:t>
      </w:r>
    </w:p>
    <w:p w14:paraId="438E7DCD" w14:textId="3123B9F7" w:rsidR="00947ED2" w:rsidRPr="00F47E6D" w:rsidRDefault="00947ED2" w:rsidP="00D35B01">
      <w:pPr>
        <w:pStyle w:val="ListParagraph"/>
        <w:numPr>
          <w:ilvl w:val="2"/>
          <w:numId w:val="8"/>
        </w:numPr>
        <w:ind w:left="1400" w:hanging="680"/>
        <w:rPr>
          <w:rFonts w:cs="Arial"/>
        </w:rPr>
      </w:pPr>
      <w:r>
        <w:rPr>
          <w:rFonts w:cs="Arial"/>
        </w:rPr>
        <w:t xml:space="preserve">A wind farm planning permit should only be renewed for one further term as a maximum. </w:t>
      </w:r>
      <w:r w:rsidRPr="00F47E6D">
        <w:rPr>
          <w:rFonts w:cs="Arial"/>
        </w:rPr>
        <w:t xml:space="preserve">Approval of permit renewals should require the developer to </w:t>
      </w:r>
      <w:r w:rsidR="00955781">
        <w:rPr>
          <w:rFonts w:cs="Arial"/>
        </w:rPr>
        <w:t>demonstrate the</w:t>
      </w:r>
      <w:r>
        <w:rPr>
          <w:rFonts w:cs="Arial"/>
        </w:rPr>
        <w:t xml:space="preserve"> likelihood of the project being commenced and completed prior to the end of the requested/approved renewal period</w:t>
      </w:r>
      <w:r w:rsidRPr="00F47E6D">
        <w:rPr>
          <w:rFonts w:cs="Arial"/>
        </w:rPr>
        <w:t>.</w:t>
      </w:r>
      <w:r>
        <w:rPr>
          <w:rFonts w:cs="Arial"/>
        </w:rPr>
        <w:t xml:space="preserve">  </w:t>
      </w:r>
    </w:p>
    <w:p w14:paraId="4C7D0055" w14:textId="77777777" w:rsidR="00947ED2" w:rsidRPr="00F47E6D" w:rsidRDefault="00947ED2" w:rsidP="00D35B01">
      <w:pPr>
        <w:pStyle w:val="ListParagraph"/>
        <w:numPr>
          <w:ilvl w:val="2"/>
          <w:numId w:val="8"/>
        </w:numPr>
        <w:ind w:left="1400" w:hanging="680"/>
        <w:rPr>
          <w:rFonts w:cs="Arial"/>
        </w:rPr>
      </w:pPr>
      <w:r>
        <w:rPr>
          <w:rFonts w:cs="Arial"/>
        </w:rPr>
        <w:t>Requests for material changes to the wind farm’s proposed design and technology need to be scrutinised through an appropriate and rigorous process by the responsible authority.  The process should be transparent to all stakeholders and include re-assessments of key impacts such as noise, visual amenity, environmental considerations, shadow flicker and construction impacts.</w:t>
      </w:r>
    </w:p>
    <w:p w14:paraId="72829511" w14:textId="31241534" w:rsidR="00947ED2" w:rsidRPr="00F47E6D" w:rsidRDefault="00947ED2" w:rsidP="00D35B01">
      <w:pPr>
        <w:pStyle w:val="ListParagraph"/>
        <w:numPr>
          <w:ilvl w:val="2"/>
          <w:numId w:val="8"/>
        </w:numPr>
        <w:ind w:left="1400" w:hanging="680"/>
        <w:rPr>
          <w:rFonts w:cs="Arial"/>
        </w:rPr>
      </w:pPr>
      <w:r w:rsidRPr="00F47E6D">
        <w:rPr>
          <w:rFonts w:cs="Arial"/>
        </w:rPr>
        <w:t xml:space="preserve">The responsible authority should be able to introduce </w:t>
      </w:r>
      <w:r>
        <w:rPr>
          <w:rFonts w:cs="Arial"/>
        </w:rPr>
        <w:t xml:space="preserve">and </w:t>
      </w:r>
      <w:r w:rsidR="00955781">
        <w:rPr>
          <w:rFonts w:cs="Arial"/>
        </w:rPr>
        <w:t xml:space="preserve">apply </w:t>
      </w:r>
      <w:r>
        <w:rPr>
          <w:rFonts w:cs="Arial"/>
        </w:rPr>
        <w:t>c</w:t>
      </w:r>
      <w:r w:rsidRPr="00F47E6D">
        <w:rPr>
          <w:rFonts w:cs="Arial"/>
        </w:rPr>
        <w:t xml:space="preserve">urrent </w:t>
      </w:r>
      <w:r w:rsidR="00F25321">
        <w:rPr>
          <w:rFonts w:cs="Arial"/>
        </w:rPr>
        <w:t xml:space="preserve">planning </w:t>
      </w:r>
      <w:r w:rsidRPr="00F47E6D">
        <w:rPr>
          <w:rFonts w:cs="Arial"/>
        </w:rPr>
        <w:t xml:space="preserve">guidelines, standards and </w:t>
      </w:r>
      <w:r w:rsidR="00F25321">
        <w:rPr>
          <w:rFonts w:cs="Arial"/>
        </w:rPr>
        <w:t xml:space="preserve">updated </w:t>
      </w:r>
      <w:r w:rsidR="00955781">
        <w:rPr>
          <w:rFonts w:cs="Arial"/>
        </w:rPr>
        <w:t xml:space="preserve">standard </w:t>
      </w:r>
      <w:r w:rsidRPr="00F47E6D">
        <w:rPr>
          <w:rFonts w:cs="Arial"/>
        </w:rPr>
        <w:t>permit conditions when assessing a request to renew and approve a wind farm planning permit</w:t>
      </w:r>
      <w:r>
        <w:rPr>
          <w:rFonts w:cs="Arial"/>
        </w:rPr>
        <w:t xml:space="preserve"> or modifications to the permit</w:t>
      </w:r>
      <w:r w:rsidRPr="00F47E6D">
        <w:rPr>
          <w:rFonts w:cs="Arial"/>
        </w:rPr>
        <w:t>.</w:t>
      </w:r>
      <w:r>
        <w:rPr>
          <w:rFonts w:cs="Arial"/>
        </w:rPr>
        <w:t xml:space="preserve"> </w:t>
      </w:r>
      <w:r w:rsidRPr="00F47E6D">
        <w:rPr>
          <w:rFonts w:cs="Arial"/>
        </w:rPr>
        <w:t>For example, a developer seeking to renew a permit expiring 31</w:t>
      </w:r>
      <w:r>
        <w:rPr>
          <w:rFonts w:cs="Arial"/>
        </w:rPr>
        <w:t> </w:t>
      </w:r>
      <w:r w:rsidRPr="00F47E6D">
        <w:rPr>
          <w:rFonts w:cs="Arial"/>
        </w:rPr>
        <w:t>December 201</w:t>
      </w:r>
      <w:r>
        <w:rPr>
          <w:rFonts w:cs="Arial"/>
        </w:rPr>
        <w:t>8</w:t>
      </w:r>
      <w:r w:rsidRPr="00F47E6D">
        <w:rPr>
          <w:rFonts w:cs="Arial"/>
        </w:rPr>
        <w:t xml:space="preserve"> may be required to comply with the </w:t>
      </w:r>
      <w:r w:rsidR="00F25321">
        <w:rPr>
          <w:rFonts w:cs="Arial"/>
        </w:rPr>
        <w:t xml:space="preserve">contemporary </w:t>
      </w:r>
      <w:r w:rsidRPr="00F47E6D">
        <w:rPr>
          <w:rFonts w:cs="Arial"/>
        </w:rPr>
        <w:t xml:space="preserve">guidelines and standards </w:t>
      </w:r>
      <w:r w:rsidR="0001336F">
        <w:rPr>
          <w:rFonts w:cs="Arial"/>
        </w:rPr>
        <w:t xml:space="preserve">currently </w:t>
      </w:r>
      <w:r w:rsidRPr="00F47E6D">
        <w:rPr>
          <w:rFonts w:cs="Arial"/>
        </w:rPr>
        <w:t>in force and prepare the renewal submissions in accordance with those guidelines and standards.</w:t>
      </w:r>
    </w:p>
    <w:p w14:paraId="169DA55D" w14:textId="2CAAA5D7" w:rsidR="00947ED2" w:rsidRPr="00F47E6D" w:rsidRDefault="00947ED2" w:rsidP="00D35B01">
      <w:pPr>
        <w:pStyle w:val="ListParagraph"/>
        <w:numPr>
          <w:ilvl w:val="2"/>
          <w:numId w:val="8"/>
        </w:numPr>
        <w:ind w:left="1400" w:hanging="680"/>
        <w:rPr>
          <w:rFonts w:cs="Arial"/>
        </w:rPr>
      </w:pPr>
      <w:r w:rsidRPr="00F47E6D">
        <w:rPr>
          <w:rFonts w:cs="Arial"/>
        </w:rPr>
        <w:t xml:space="preserve">Evidence of ongoing community engagement for the project should be submitted to the responsible authority </w:t>
      </w:r>
      <w:r>
        <w:rPr>
          <w:rFonts w:cs="Arial"/>
        </w:rPr>
        <w:t xml:space="preserve">when seeking </w:t>
      </w:r>
      <w:r w:rsidRPr="00F47E6D">
        <w:rPr>
          <w:rFonts w:cs="Arial"/>
        </w:rPr>
        <w:t xml:space="preserve">a renewal approval </w:t>
      </w:r>
      <w:r>
        <w:rPr>
          <w:rFonts w:cs="Arial"/>
        </w:rPr>
        <w:t xml:space="preserve">or permit modification </w:t>
      </w:r>
      <w:r w:rsidRPr="00F47E6D">
        <w:rPr>
          <w:rFonts w:cs="Arial"/>
        </w:rPr>
        <w:t xml:space="preserve">request. </w:t>
      </w:r>
      <w:r>
        <w:rPr>
          <w:rFonts w:cs="Arial"/>
        </w:rPr>
        <w:t xml:space="preserve">Submissions </w:t>
      </w:r>
      <w:r w:rsidRPr="00F47E6D">
        <w:rPr>
          <w:rFonts w:cs="Arial"/>
        </w:rPr>
        <w:t>should include evidence of community consultation with regard to any proposed changes in the wind farm’s design and layout subsequent to the original permit approval.</w:t>
      </w:r>
    </w:p>
    <w:p w14:paraId="38DDA1C0" w14:textId="504E47AD" w:rsidR="00947ED2" w:rsidRPr="00F47E6D" w:rsidRDefault="00947ED2" w:rsidP="00D35B01">
      <w:pPr>
        <w:pStyle w:val="ListParagraph"/>
        <w:numPr>
          <w:ilvl w:val="2"/>
          <w:numId w:val="8"/>
        </w:numPr>
        <w:ind w:left="1400" w:hanging="680"/>
        <w:rPr>
          <w:rFonts w:cs="Arial"/>
        </w:rPr>
      </w:pPr>
      <w:r w:rsidRPr="00F47E6D">
        <w:rPr>
          <w:rFonts w:cs="Arial"/>
        </w:rPr>
        <w:t xml:space="preserve">In considering a renewal or </w:t>
      </w:r>
      <w:r>
        <w:rPr>
          <w:rFonts w:cs="Arial"/>
        </w:rPr>
        <w:t>modification</w:t>
      </w:r>
      <w:r w:rsidRPr="00F47E6D">
        <w:rPr>
          <w:rFonts w:cs="Arial"/>
        </w:rPr>
        <w:t xml:space="preserve"> application, the responsible authority should assess any compounding effects of other proposed or constructed wind farms in the vicinity</w:t>
      </w:r>
      <w:r>
        <w:rPr>
          <w:rFonts w:cs="Arial"/>
        </w:rPr>
        <w:t>,</w:t>
      </w:r>
      <w:r w:rsidRPr="00F47E6D">
        <w:rPr>
          <w:rFonts w:cs="Arial"/>
        </w:rPr>
        <w:t xml:space="preserve"> </w:t>
      </w:r>
      <w:r w:rsidR="0001336F">
        <w:rPr>
          <w:rFonts w:cs="Arial"/>
        </w:rPr>
        <w:t xml:space="preserve">in particular </w:t>
      </w:r>
      <w:r w:rsidRPr="00F47E6D">
        <w:rPr>
          <w:rFonts w:cs="Arial"/>
        </w:rPr>
        <w:t xml:space="preserve">with </w:t>
      </w:r>
      <w:r>
        <w:rPr>
          <w:rFonts w:cs="Arial"/>
        </w:rPr>
        <w:t>respect to residents who may experience cumulative e</w:t>
      </w:r>
      <w:r w:rsidRPr="00F47E6D">
        <w:rPr>
          <w:rFonts w:cs="Arial"/>
        </w:rPr>
        <w:t>ffect</w:t>
      </w:r>
      <w:r>
        <w:rPr>
          <w:rFonts w:cs="Arial"/>
        </w:rPr>
        <w:t>s</w:t>
      </w:r>
      <w:r w:rsidRPr="00F47E6D">
        <w:rPr>
          <w:rFonts w:cs="Arial"/>
        </w:rPr>
        <w:t xml:space="preserve"> </w:t>
      </w:r>
      <w:r>
        <w:rPr>
          <w:rFonts w:cs="Arial"/>
        </w:rPr>
        <w:t xml:space="preserve">that </w:t>
      </w:r>
      <w:r w:rsidR="00955781">
        <w:rPr>
          <w:rFonts w:cs="Arial"/>
        </w:rPr>
        <w:t xml:space="preserve">may be </w:t>
      </w:r>
      <w:r>
        <w:rPr>
          <w:rFonts w:cs="Arial"/>
        </w:rPr>
        <w:t xml:space="preserve">exacerbated </w:t>
      </w:r>
      <w:r w:rsidRPr="00F47E6D">
        <w:rPr>
          <w:rFonts w:cs="Arial"/>
        </w:rPr>
        <w:t>by the proposed wind farm that is seeking permit renewal approval.</w:t>
      </w:r>
    </w:p>
    <w:p w14:paraId="299308BC" w14:textId="6620A53E" w:rsidR="00947ED2" w:rsidRPr="00F47E6D" w:rsidRDefault="00947ED2" w:rsidP="00D35B01">
      <w:pPr>
        <w:pStyle w:val="ListParagraph"/>
        <w:numPr>
          <w:ilvl w:val="2"/>
          <w:numId w:val="8"/>
        </w:numPr>
        <w:ind w:left="1400" w:hanging="680"/>
        <w:rPr>
          <w:rFonts w:cs="Arial"/>
        </w:rPr>
      </w:pPr>
      <w:r w:rsidRPr="00F47E6D">
        <w:rPr>
          <w:rFonts w:cs="Arial"/>
        </w:rPr>
        <w:t xml:space="preserve">Further to </w:t>
      </w:r>
      <w:r>
        <w:rPr>
          <w:rFonts w:cs="Arial"/>
        </w:rPr>
        <w:t xml:space="preserve">Recommendation </w:t>
      </w:r>
      <w:r w:rsidRPr="00F47E6D">
        <w:rPr>
          <w:rFonts w:cs="Arial"/>
        </w:rPr>
        <w:t xml:space="preserve">4.2.5, the responsible authority should assess and take into account </w:t>
      </w:r>
      <w:r w:rsidR="0001336F">
        <w:rPr>
          <w:rFonts w:cs="Arial"/>
        </w:rPr>
        <w:t xml:space="preserve">any </w:t>
      </w:r>
      <w:r w:rsidRPr="00F47E6D">
        <w:rPr>
          <w:rFonts w:cs="Arial"/>
        </w:rPr>
        <w:t>other planning approval requests</w:t>
      </w:r>
      <w:r>
        <w:rPr>
          <w:rFonts w:cs="Arial"/>
        </w:rPr>
        <w:t>/approvals</w:t>
      </w:r>
      <w:r w:rsidRPr="00F47E6D">
        <w:rPr>
          <w:rFonts w:cs="Arial"/>
        </w:rPr>
        <w:t xml:space="preserve"> in the vicinity </w:t>
      </w:r>
      <w:r>
        <w:rPr>
          <w:rFonts w:cs="Arial"/>
        </w:rPr>
        <w:t xml:space="preserve">that have arisen subsequent to the original permit approval </w:t>
      </w:r>
      <w:r w:rsidRPr="00F47E6D">
        <w:rPr>
          <w:rFonts w:cs="Arial"/>
        </w:rPr>
        <w:t xml:space="preserve">when considering </w:t>
      </w:r>
      <w:r>
        <w:rPr>
          <w:rFonts w:cs="Arial"/>
        </w:rPr>
        <w:t>the</w:t>
      </w:r>
      <w:r w:rsidRPr="00F47E6D">
        <w:rPr>
          <w:rFonts w:cs="Arial"/>
        </w:rPr>
        <w:t xml:space="preserve"> wind farm</w:t>
      </w:r>
      <w:r>
        <w:rPr>
          <w:rFonts w:cs="Arial"/>
        </w:rPr>
        <w:t>’s permit</w:t>
      </w:r>
      <w:r w:rsidRPr="00F47E6D">
        <w:rPr>
          <w:rFonts w:cs="Arial"/>
        </w:rPr>
        <w:t xml:space="preserve"> renewal application.</w:t>
      </w:r>
    </w:p>
    <w:p w14:paraId="08C2E0CD" w14:textId="77777777" w:rsidR="00947ED2" w:rsidRPr="00F47E6D" w:rsidRDefault="00947ED2" w:rsidP="00D35B01">
      <w:pPr>
        <w:pStyle w:val="ListParagraph"/>
        <w:numPr>
          <w:ilvl w:val="2"/>
          <w:numId w:val="8"/>
        </w:numPr>
        <w:ind w:left="1400" w:hanging="680"/>
        <w:rPr>
          <w:rFonts w:cs="Arial"/>
        </w:rPr>
      </w:pPr>
      <w:r w:rsidRPr="00F47E6D">
        <w:rPr>
          <w:rFonts w:cs="Arial"/>
        </w:rPr>
        <w:t>In the event that the wind farm is seeking a renewal/extension of the permit period to allow</w:t>
      </w:r>
      <w:r>
        <w:rPr>
          <w:rFonts w:cs="Arial"/>
        </w:rPr>
        <w:t xml:space="preserve"> a commenced project time</w:t>
      </w:r>
      <w:r w:rsidRPr="00F47E6D">
        <w:rPr>
          <w:rFonts w:cs="Arial"/>
        </w:rPr>
        <w:t xml:space="preserve"> for construction completion, the responsible authority needs to be fully satisfied that material construction has already commenced and provide extensions only for the period where it would be reasonably expected for the </w:t>
      </w:r>
      <w:r>
        <w:rPr>
          <w:rFonts w:cs="Arial"/>
        </w:rPr>
        <w:t xml:space="preserve">remaining </w:t>
      </w:r>
      <w:r w:rsidRPr="00F47E6D">
        <w:rPr>
          <w:rFonts w:cs="Arial"/>
        </w:rPr>
        <w:t>construction to be completed.</w:t>
      </w:r>
    </w:p>
    <w:p w14:paraId="3736DD68" w14:textId="40EC4BB2" w:rsidR="00947ED2" w:rsidRPr="00F47E6D" w:rsidRDefault="00947ED2" w:rsidP="00D35B01">
      <w:pPr>
        <w:pStyle w:val="ListParagraph"/>
        <w:numPr>
          <w:ilvl w:val="2"/>
          <w:numId w:val="8"/>
        </w:numPr>
        <w:ind w:left="1400" w:hanging="680"/>
        <w:rPr>
          <w:rFonts w:cs="Arial"/>
        </w:rPr>
      </w:pPr>
      <w:r w:rsidRPr="00F47E6D">
        <w:rPr>
          <w:rFonts w:cs="Arial"/>
        </w:rPr>
        <w:t xml:space="preserve">Vendors selling properties within </w:t>
      </w:r>
      <w:r>
        <w:rPr>
          <w:rFonts w:cs="Arial"/>
        </w:rPr>
        <w:t>5</w:t>
      </w:r>
      <w:r w:rsidRPr="00F47E6D">
        <w:rPr>
          <w:rFonts w:cs="Arial"/>
        </w:rPr>
        <w:t xml:space="preserve"> k</w:t>
      </w:r>
      <w:r>
        <w:rPr>
          <w:rFonts w:cs="Arial"/>
        </w:rPr>
        <w:t xml:space="preserve">m </w:t>
      </w:r>
      <w:r w:rsidRPr="00F47E6D">
        <w:rPr>
          <w:rFonts w:cs="Arial"/>
        </w:rPr>
        <w:t>of a</w:t>
      </w:r>
      <w:r w:rsidR="0001336F">
        <w:rPr>
          <w:rFonts w:cs="Arial"/>
        </w:rPr>
        <w:t xml:space="preserve"> proposed and approved</w:t>
      </w:r>
      <w:r w:rsidRPr="00F47E6D">
        <w:rPr>
          <w:rFonts w:cs="Arial"/>
        </w:rPr>
        <w:t xml:space="preserve"> wind farm should be required</w:t>
      </w:r>
      <w:r>
        <w:rPr>
          <w:rFonts w:cs="Arial"/>
        </w:rPr>
        <w:t>, where practical,</w:t>
      </w:r>
      <w:r w:rsidRPr="00F47E6D">
        <w:rPr>
          <w:rFonts w:cs="Arial"/>
        </w:rPr>
        <w:t xml:space="preserve"> to disclose </w:t>
      </w:r>
      <w:r w:rsidR="00955781">
        <w:rPr>
          <w:rFonts w:cs="Arial"/>
        </w:rPr>
        <w:t>any</w:t>
      </w:r>
      <w:r w:rsidR="00955781" w:rsidRPr="00F47E6D">
        <w:rPr>
          <w:rFonts w:cs="Arial"/>
        </w:rPr>
        <w:t xml:space="preserve"> </w:t>
      </w:r>
      <w:r w:rsidR="0001336F">
        <w:rPr>
          <w:rFonts w:cs="Arial"/>
        </w:rPr>
        <w:t xml:space="preserve">such </w:t>
      </w:r>
      <w:r w:rsidRPr="00F47E6D">
        <w:rPr>
          <w:rFonts w:cs="Arial"/>
        </w:rPr>
        <w:t>proposed wind farm</w:t>
      </w:r>
      <w:r w:rsidR="00955781">
        <w:rPr>
          <w:rFonts w:cs="Arial"/>
        </w:rPr>
        <w:t>s</w:t>
      </w:r>
      <w:r w:rsidRPr="00F47E6D">
        <w:rPr>
          <w:rFonts w:cs="Arial"/>
        </w:rPr>
        <w:t xml:space="preserve"> to purchasers in contract of sale documents, based on information provided by the local planning authority.</w:t>
      </w:r>
      <w:r>
        <w:rPr>
          <w:rFonts w:cs="Arial"/>
        </w:rPr>
        <w:t xml:space="preserve"> State governments should also include questions for rural property purchasers to ask about potential wind farms in any due diligence checklist</w:t>
      </w:r>
      <w:r w:rsidR="00955781">
        <w:rPr>
          <w:rFonts w:cs="Arial"/>
        </w:rPr>
        <w:t xml:space="preserve"> that may accompany </w:t>
      </w:r>
      <w:r w:rsidR="0001336F">
        <w:rPr>
          <w:rFonts w:cs="Arial"/>
        </w:rPr>
        <w:t xml:space="preserve">contract of sale </w:t>
      </w:r>
      <w:r w:rsidR="00955781">
        <w:rPr>
          <w:rFonts w:cs="Arial"/>
        </w:rPr>
        <w:t>documents</w:t>
      </w:r>
      <w:r>
        <w:rPr>
          <w:rFonts w:cs="Arial"/>
        </w:rPr>
        <w:t>.</w:t>
      </w:r>
    </w:p>
    <w:p w14:paraId="4ED8BCD1" w14:textId="65C35958" w:rsidR="00947ED2" w:rsidRDefault="00947ED2" w:rsidP="00D35B01">
      <w:pPr>
        <w:pStyle w:val="ListParagraph"/>
        <w:numPr>
          <w:ilvl w:val="2"/>
          <w:numId w:val="8"/>
        </w:numPr>
        <w:ind w:left="1400" w:hanging="680"/>
        <w:rPr>
          <w:rFonts w:cs="Arial"/>
        </w:rPr>
      </w:pPr>
      <w:r>
        <w:rPr>
          <w:rFonts w:cs="Arial"/>
        </w:rPr>
        <w:t xml:space="preserve">Where </w:t>
      </w:r>
      <w:r w:rsidRPr="00F47E6D">
        <w:rPr>
          <w:rFonts w:cs="Arial"/>
        </w:rPr>
        <w:t xml:space="preserve">a wind farm permit renewal is to </w:t>
      </w:r>
      <w:r w:rsidR="004F5F3D">
        <w:rPr>
          <w:rFonts w:cs="Arial"/>
        </w:rPr>
        <w:t xml:space="preserve">primarily </w:t>
      </w:r>
      <w:r w:rsidRPr="00F47E6D">
        <w:rPr>
          <w:rFonts w:cs="Arial"/>
        </w:rPr>
        <w:t xml:space="preserve">provide an extension period for construction to be completed, the maximum period between approval of </w:t>
      </w:r>
      <w:r w:rsidR="004F5F3D">
        <w:rPr>
          <w:rFonts w:cs="Arial"/>
        </w:rPr>
        <w:t xml:space="preserve">the original </w:t>
      </w:r>
      <w:r w:rsidRPr="00F47E6D">
        <w:rPr>
          <w:rFonts w:cs="Arial"/>
        </w:rPr>
        <w:t xml:space="preserve">planning permit application and completion of construction of the wind farm should be no greater than seven and a half years, including any renewals or extensions of the original </w:t>
      </w:r>
      <w:r>
        <w:rPr>
          <w:rFonts w:cs="Arial"/>
        </w:rPr>
        <w:t xml:space="preserve">planning </w:t>
      </w:r>
      <w:r w:rsidRPr="00F47E6D">
        <w:rPr>
          <w:rFonts w:cs="Arial"/>
        </w:rPr>
        <w:t>permit.</w:t>
      </w:r>
    </w:p>
    <w:p w14:paraId="6BD07630" w14:textId="0E77F9DA" w:rsidR="00947ED2" w:rsidRDefault="00947ED2" w:rsidP="00D35B01">
      <w:pPr>
        <w:pStyle w:val="ListParagraph"/>
        <w:numPr>
          <w:ilvl w:val="2"/>
          <w:numId w:val="8"/>
        </w:numPr>
        <w:ind w:left="1400" w:hanging="680"/>
        <w:rPr>
          <w:rFonts w:cs="Arial"/>
        </w:rPr>
      </w:pPr>
      <w:r>
        <w:rPr>
          <w:rFonts w:cs="Arial"/>
        </w:rPr>
        <w:lastRenderedPageBreak/>
        <w:t>Neighbours to wind farm projects, where the project is in either development or in operation, should be allowed to submit development plans to the responsible planning authority for new development</w:t>
      </w:r>
      <w:r w:rsidR="004F5F3D">
        <w:rPr>
          <w:rFonts w:cs="Arial"/>
        </w:rPr>
        <w:t xml:space="preserve"> on their property</w:t>
      </w:r>
      <w:r>
        <w:rPr>
          <w:rFonts w:cs="Arial"/>
        </w:rPr>
        <w:t>, such as a dwelling or a shed. Development proposals within at least 1.5</w:t>
      </w:r>
      <w:r w:rsidR="00955781">
        <w:rPr>
          <w:rFonts w:cs="Arial"/>
        </w:rPr>
        <w:t xml:space="preserve"> </w:t>
      </w:r>
      <w:r>
        <w:rPr>
          <w:rFonts w:cs="Arial"/>
        </w:rPr>
        <w:t xml:space="preserve">km of a proposed or operating wind turbine, should be referred to the wind farm developer </w:t>
      </w:r>
      <w:r w:rsidR="004F5F3D">
        <w:rPr>
          <w:rFonts w:cs="Arial"/>
        </w:rPr>
        <w:t xml:space="preserve">by the responsible authority </w:t>
      </w:r>
      <w:r>
        <w:rPr>
          <w:rFonts w:cs="Arial"/>
        </w:rPr>
        <w:t xml:space="preserve">for consultation and to verify impact levels </w:t>
      </w:r>
      <w:r w:rsidR="004F5F3D">
        <w:rPr>
          <w:rFonts w:cs="Arial"/>
        </w:rPr>
        <w:t xml:space="preserve">of the wind farm </w:t>
      </w:r>
      <w:r>
        <w:rPr>
          <w:rFonts w:cs="Arial"/>
        </w:rPr>
        <w:t xml:space="preserve">at the proposed </w:t>
      </w:r>
      <w:r w:rsidR="004F5F3D">
        <w:rPr>
          <w:rFonts w:cs="Arial"/>
        </w:rPr>
        <w:t xml:space="preserve">neighbour’s </w:t>
      </w:r>
      <w:r>
        <w:rPr>
          <w:rFonts w:cs="Arial"/>
        </w:rPr>
        <w:t>development</w:t>
      </w:r>
      <w:r w:rsidR="004F5F3D">
        <w:rPr>
          <w:rFonts w:cs="Arial"/>
        </w:rPr>
        <w:t xml:space="preserve"> site</w:t>
      </w:r>
      <w:r>
        <w:rPr>
          <w:rFonts w:cs="Arial"/>
        </w:rPr>
        <w:t xml:space="preserve">. Development proposals in locations where the wind farm is likely to exceed prescribed standards and limits may require </w:t>
      </w:r>
      <w:r w:rsidR="004F5F3D">
        <w:rPr>
          <w:rFonts w:cs="Arial"/>
        </w:rPr>
        <w:t xml:space="preserve">written </w:t>
      </w:r>
      <w:r>
        <w:rPr>
          <w:rFonts w:cs="Arial"/>
        </w:rPr>
        <w:t xml:space="preserve">agreements to be reached between the neighbour and the wind farm before the </w:t>
      </w:r>
      <w:r w:rsidR="004F5F3D">
        <w:rPr>
          <w:rFonts w:cs="Arial"/>
        </w:rPr>
        <w:t xml:space="preserve">neighbour’s </w:t>
      </w:r>
      <w:r>
        <w:rPr>
          <w:rFonts w:cs="Arial"/>
        </w:rPr>
        <w:t>development can be approved.</w:t>
      </w:r>
    </w:p>
    <w:p w14:paraId="3B7E5D5F" w14:textId="2677A425" w:rsidR="00EB2B45" w:rsidRPr="00A627C1" w:rsidRDefault="00657BCC" w:rsidP="00A627C1">
      <w:pPr>
        <w:pStyle w:val="ListParagraph"/>
        <w:numPr>
          <w:ilvl w:val="2"/>
          <w:numId w:val="8"/>
        </w:numPr>
        <w:ind w:left="1400" w:hanging="680"/>
        <w:rPr>
          <w:rFonts w:cs="Arial"/>
        </w:rPr>
      </w:pPr>
      <w:r>
        <w:rPr>
          <w:rFonts w:cs="Arial"/>
        </w:rPr>
        <w:t>Transmission lines, sub</w:t>
      </w:r>
      <w:r w:rsidR="00F63C36">
        <w:rPr>
          <w:rFonts w:cs="Arial"/>
        </w:rPr>
        <w:t xml:space="preserve">stations and other related electrical infrastructure should all be subject to and require an appropriate and detailed planning permit, ideally as part of the </w:t>
      </w:r>
      <w:r w:rsidR="00A627C1">
        <w:rPr>
          <w:rFonts w:cs="Arial"/>
        </w:rPr>
        <w:t>overall permit for the project.</w:t>
      </w:r>
    </w:p>
    <w:p w14:paraId="37530E97" w14:textId="77777777" w:rsidR="00947ED2" w:rsidRPr="00F47E6D" w:rsidRDefault="00947ED2" w:rsidP="00D35B01">
      <w:pPr>
        <w:pStyle w:val="ListParagraph"/>
        <w:numPr>
          <w:ilvl w:val="0"/>
          <w:numId w:val="8"/>
        </w:numPr>
        <w:rPr>
          <w:rFonts w:cs="Arial"/>
          <w:b/>
        </w:rPr>
      </w:pPr>
      <w:r>
        <w:rPr>
          <w:rFonts w:cs="Arial"/>
          <w:b/>
        </w:rPr>
        <w:t>Governance and C</w:t>
      </w:r>
      <w:r w:rsidRPr="00F47E6D">
        <w:rPr>
          <w:rFonts w:cs="Arial"/>
          <w:b/>
        </w:rPr>
        <w:t>ompliance of Standards and Permit Conditions</w:t>
      </w:r>
    </w:p>
    <w:p w14:paraId="08639A24" w14:textId="77777777" w:rsidR="00947ED2" w:rsidRPr="00F47E6D" w:rsidRDefault="00947ED2" w:rsidP="00D35B01">
      <w:pPr>
        <w:pStyle w:val="ListParagraph"/>
        <w:numPr>
          <w:ilvl w:val="1"/>
          <w:numId w:val="8"/>
        </w:numPr>
        <w:rPr>
          <w:rFonts w:cs="Arial"/>
          <w:b/>
        </w:rPr>
      </w:pPr>
      <w:r w:rsidRPr="00F47E6D">
        <w:rPr>
          <w:rFonts w:cs="Arial"/>
          <w:b/>
        </w:rPr>
        <w:t>Observations</w:t>
      </w:r>
    </w:p>
    <w:p w14:paraId="701CFE0A" w14:textId="77777777" w:rsidR="00947ED2" w:rsidRPr="00F47E6D" w:rsidRDefault="00947ED2" w:rsidP="00947ED2">
      <w:pPr>
        <w:pStyle w:val="ListParagraph"/>
        <w:numPr>
          <w:ilvl w:val="0"/>
          <w:numId w:val="0"/>
        </w:numPr>
        <w:ind w:left="360"/>
        <w:rPr>
          <w:rFonts w:cs="Arial"/>
        </w:rPr>
      </w:pPr>
      <w:r w:rsidRPr="00F47E6D">
        <w:rPr>
          <w:rFonts w:cs="Arial"/>
        </w:rPr>
        <w:t xml:space="preserve">The design and governance of wind energy projects relies on a range of standards and various compliance mechanisms to </w:t>
      </w:r>
      <w:r>
        <w:rPr>
          <w:rFonts w:cs="Arial"/>
        </w:rPr>
        <w:t xml:space="preserve">monitor and </w:t>
      </w:r>
      <w:r w:rsidRPr="00F47E6D">
        <w:rPr>
          <w:rFonts w:cs="Arial"/>
        </w:rPr>
        <w:t>enforce those standards.</w:t>
      </w:r>
    </w:p>
    <w:p w14:paraId="234AB0DB" w14:textId="5AE529B1" w:rsidR="00947ED2" w:rsidRPr="00F47E6D" w:rsidRDefault="00947ED2" w:rsidP="00947ED2">
      <w:pPr>
        <w:pStyle w:val="ListParagraph"/>
        <w:numPr>
          <w:ilvl w:val="0"/>
          <w:numId w:val="0"/>
        </w:numPr>
        <w:ind w:left="360"/>
        <w:rPr>
          <w:rFonts w:cs="Arial"/>
        </w:rPr>
      </w:pPr>
      <w:r w:rsidRPr="00F47E6D">
        <w:rPr>
          <w:rFonts w:cs="Arial"/>
        </w:rPr>
        <w:t xml:space="preserve">Standards are </w:t>
      </w:r>
      <w:r>
        <w:rPr>
          <w:rFonts w:cs="Arial"/>
        </w:rPr>
        <w:t>often</w:t>
      </w:r>
      <w:r w:rsidRPr="00F47E6D">
        <w:rPr>
          <w:rFonts w:cs="Arial"/>
        </w:rPr>
        <w:t xml:space="preserve"> set and maintained by the responsible authority (for example, a state planning department) and there are a variety of arrangements in place for enforcing compliance with the standards. Standards may be ‘borrowed’ from other jurisdictions (for example, </w:t>
      </w:r>
      <w:r>
        <w:rPr>
          <w:rFonts w:cs="Arial"/>
        </w:rPr>
        <w:t xml:space="preserve">Victoria uses </w:t>
      </w:r>
      <w:r w:rsidRPr="00F47E6D">
        <w:rPr>
          <w:rFonts w:cs="Arial"/>
        </w:rPr>
        <w:t>the New Zealand Noise Standard</w:t>
      </w:r>
      <w:r>
        <w:rPr>
          <w:rFonts w:cs="Arial"/>
        </w:rPr>
        <w:t xml:space="preserve">, </w:t>
      </w:r>
      <w:r w:rsidR="00955781">
        <w:rPr>
          <w:rFonts w:cs="Arial"/>
        </w:rPr>
        <w:t xml:space="preserve">the </w:t>
      </w:r>
      <w:r>
        <w:rPr>
          <w:rFonts w:cs="Arial"/>
        </w:rPr>
        <w:t xml:space="preserve">NSW </w:t>
      </w:r>
      <w:r w:rsidR="001209F9">
        <w:rPr>
          <w:rFonts w:cs="Arial"/>
        </w:rPr>
        <w:t xml:space="preserve">noise </w:t>
      </w:r>
      <w:r>
        <w:rPr>
          <w:rFonts w:cs="Arial"/>
        </w:rPr>
        <w:t xml:space="preserve">standard is based on the </w:t>
      </w:r>
      <w:r w:rsidR="00955781">
        <w:rPr>
          <w:rFonts w:cs="Arial"/>
        </w:rPr>
        <w:t xml:space="preserve">South Australian </w:t>
      </w:r>
      <w:r>
        <w:rPr>
          <w:rFonts w:cs="Arial"/>
        </w:rPr>
        <w:t>standard</w:t>
      </w:r>
      <w:r w:rsidRPr="00F47E6D">
        <w:rPr>
          <w:rFonts w:cs="Arial"/>
        </w:rPr>
        <w:t>), set by the planning function or set by the state agency responsible for environmental management and regulation.</w:t>
      </w:r>
    </w:p>
    <w:p w14:paraId="036F98B4" w14:textId="3856338D" w:rsidR="00947ED2" w:rsidRPr="00F47E6D" w:rsidRDefault="00947ED2" w:rsidP="00947ED2">
      <w:pPr>
        <w:pStyle w:val="ListParagraph"/>
        <w:numPr>
          <w:ilvl w:val="0"/>
          <w:numId w:val="0"/>
        </w:numPr>
        <w:ind w:left="360"/>
        <w:rPr>
          <w:rFonts w:cs="Arial"/>
        </w:rPr>
      </w:pPr>
      <w:r w:rsidRPr="00F47E6D">
        <w:rPr>
          <w:rFonts w:cs="Arial"/>
        </w:rPr>
        <w:t xml:space="preserve">Enforcement of </w:t>
      </w:r>
      <w:r w:rsidRPr="00B6283A">
        <w:rPr>
          <w:rFonts w:cs="Arial"/>
        </w:rPr>
        <w:t>standards and permit conditions also varies by jurisdiction and</w:t>
      </w:r>
      <w:r>
        <w:rPr>
          <w:rFonts w:cs="Arial"/>
        </w:rPr>
        <w:t xml:space="preserve"> the type of</w:t>
      </w:r>
      <w:r w:rsidRPr="00B6283A">
        <w:rPr>
          <w:rFonts w:cs="Arial"/>
        </w:rPr>
        <w:t xml:space="preserve"> standards</w:t>
      </w:r>
      <w:r w:rsidRPr="00F47E6D">
        <w:rPr>
          <w:rFonts w:cs="Arial"/>
        </w:rPr>
        <w:t>. Generally, there are no proactive audit regimes in place</w:t>
      </w:r>
      <w:r w:rsidR="00EE39B6">
        <w:rPr>
          <w:rFonts w:cs="Arial"/>
        </w:rPr>
        <w:t xml:space="preserve"> – </w:t>
      </w:r>
      <w:r w:rsidRPr="00F47E6D">
        <w:rPr>
          <w:rFonts w:cs="Arial"/>
        </w:rPr>
        <w:t>rather</w:t>
      </w:r>
      <w:r w:rsidR="00EE39B6">
        <w:rPr>
          <w:rFonts w:cs="Arial"/>
        </w:rPr>
        <w:t>,</w:t>
      </w:r>
      <w:r w:rsidRPr="00F47E6D">
        <w:rPr>
          <w:rFonts w:cs="Arial"/>
        </w:rPr>
        <w:t xml:space="preserve"> compliance relies on </w:t>
      </w:r>
      <w:r>
        <w:rPr>
          <w:rFonts w:cs="Arial"/>
        </w:rPr>
        <w:t xml:space="preserve">receiving </w:t>
      </w:r>
      <w:r w:rsidRPr="00F47E6D">
        <w:rPr>
          <w:rFonts w:cs="Arial"/>
        </w:rPr>
        <w:t>complaints or alleged breaches of permit conditions. The pathway to make a compliance complaint or allegation again varies by jurisdiction and type of complaint</w:t>
      </w:r>
      <w:r w:rsidR="00EE39B6">
        <w:rPr>
          <w:rFonts w:cs="Arial"/>
        </w:rPr>
        <w:t xml:space="preserve"> – </w:t>
      </w:r>
      <w:r w:rsidRPr="00F47E6D">
        <w:rPr>
          <w:rFonts w:cs="Arial"/>
        </w:rPr>
        <w:t xml:space="preserve">in some cases the state environmental regulator can receive and investigate </w:t>
      </w:r>
      <w:r>
        <w:rPr>
          <w:rFonts w:cs="Arial"/>
        </w:rPr>
        <w:t xml:space="preserve">noise or </w:t>
      </w:r>
      <w:r w:rsidRPr="00F47E6D">
        <w:rPr>
          <w:rFonts w:cs="Arial"/>
        </w:rPr>
        <w:t xml:space="preserve">environmental complaints about wind farms, in other cases it may </w:t>
      </w:r>
      <w:r>
        <w:rPr>
          <w:rFonts w:cs="Arial"/>
        </w:rPr>
        <w:t xml:space="preserve">be </w:t>
      </w:r>
      <w:r w:rsidRPr="00F47E6D">
        <w:rPr>
          <w:rFonts w:cs="Arial"/>
        </w:rPr>
        <w:t xml:space="preserve">a local council, state planning department or the relevant Australian Government Department. </w:t>
      </w:r>
    </w:p>
    <w:p w14:paraId="6B41EE61" w14:textId="3D8B64ED" w:rsidR="00947ED2" w:rsidRDefault="00947ED2" w:rsidP="00947ED2">
      <w:pPr>
        <w:pStyle w:val="ListParagraph"/>
        <w:numPr>
          <w:ilvl w:val="0"/>
          <w:numId w:val="0"/>
        </w:numPr>
        <w:ind w:left="360"/>
        <w:rPr>
          <w:rFonts w:cs="Arial"/>
        </w:rPr>
      </w:pPr>
      <w:r w:rsidRPr="00F47E6D">
        <w:rPr>
          <w:rFonts w:cs="Arial"/>
        </w:rPr>
        <w:t xml:space="preserve">It is often unclear to community members where </w:t>
      </w:r>
      <w:r>
        <w:rPr>
          <w:rFonts w:cs="Arial"/>
        </w:rPr>
        <w:t xml:space="preserve">or who </w:t>
      </w:r>
      <w:r w:rsidRPr="00F47E6D">
        <w:rPr>
          <w:rFonts w:cs="Arial"/>
        </w:rPr>
        <w:t>they should lodge a complaint</w:t>
      </w:r>
      <w:r>
        <w:rPr>
          <w:rFonts w:cs="Arial"/>
        </w:rPr>
        <w:t xml:space="preserve"> to</w:t>
      </w:r>
      <w:r w:rsidRPr="00F47E6D">
        <w:rPr>
          <w:rFonts w:cs="Arial"/>
        </w:rPr>
        <w:t xml:space="preserve"> regarding </w:t>
      </w:r>
      <w:r>
        <w:rPr>
          <w:rFonts w:cs="Arial"/>
        </w:rPr>
        <w:t xml:space="preserve">wind farm construction or operating </w:t>
      </w:r>
      <w:r w:rsidRPr="00F47E6D">
        <w:rPr>
          <w:rFonts w:cs="Arial"/>
        </w:rPr>
        <w:t xml:space="preserve">compliance. Planning permits </w:t>
      </w:r>
      <w:r>
        <w:rPr>
          <w:rFonts w:cs="Arial"/>
        </w:rPr>
        <w:t xml:space="preserve">may </w:t>
      </w:r>
      <w:r w:rsidRPr="00F47E6D">
        <w:rPr>
          <w:rFonts w:cs="Arial"/>
        </w:rPr>
        <w:t>not clearly state the accountability and responsibilities with regard</w:t>
      </w:r>
      <w:r>
        <w:rPr>
          <w:rFonts w:cs="Arial"/>
        </w:rPr>
        <w:t xml:space="preserve"> to compliance oversight, nor may</w:t>
      </w:r>
      <w:r w:rsidRPr="00F47E6D">
        <w:rPr>
          <w:rFonts w:cs="Arial"/>
        </w:rPr>
        <w:t xml:space="preserve"> they prescribe a process for handling potential or actual non-compliance. Further, local councils and state planning functions may not have the necessary skills and expertise to handle and investigate a compliance complaint.</w:t>
      </w:r>
      <w:r w:rsidR="008039BA">
        <w:rPr>
          <w:rFonts w:cs="Arial"/>
        </w:rPr>
        <w:t xml:space="preserve">  Federal agencies, such as the Clean Energy Regulator, rely on a clear understanding of the responsible compliance authority and the authority’s advice if the Regulator is to consider acting on an allegation of non-compliance.</w:t>
      </w:r>
    </w:p>
    <w:p w14:paraId="787466DD" w14:textId="77777777" w:rsidR="00AE7F1B" w:rsidRDefault="00947ED2" w:rsidP="00947ED2">
      <w:pPr>
        <w:pStyle w:val="ListParagraph"/>
        <w:numPr>
          <w:ilvl w:val="0"/>
          <w:numId w:val="0"/>
        </w:numPr>
        <w:ind w:left="360"/>
        <w:rPr>
          <w:rFonts w:cs="Arial"/>
        </w:rPr>
      </w:pPr>
      <w:r>
        <w:rPr>
          <w:rFonts w:cs="Arial"/>
        </w:rPr>
        <w:t xml:space="preserve">Borrowed standards can also become difficult to administrate or enforce if a protocol has not been developed for the local jurisdiction. </w:t>
      </w:r>
      <w:r w:rsidR="004D0F84">
        <w:rPr>
          <w:rFonts w:cs="Arial"/>
        </w:rPr>
        <w:t>For instance, t</w:t>
      </w:r>
      <w:r>
        <w:rPr>
          <w:rFonts w:cs="Arial"/>
        </w:rPr>
        <w:t>he NZ standard has a concept of low and high amenity areas for determining the appropriate noise limits for a wind farm. Victoria’s planning scheme does not define such areas</w:t>
      </w:r>
      <w:r w:rsidR="00395879">
        <w:rPr>
          <w:rFonts w:cs="Arial"/>
        </w:rPr>
        <w:t>,</w:t>
      </w:r>
      <w:r>
        <w:rPr>
          <w:rFonts w:cs="Arial"/>
        </w:rPr>
        <w:t xml:space="preserve"> making it difficult to interpret </w:t>
      </w:r>
      <w:r w:rsidR="00395879">
        <w:rPr>
          <w:rFonts w:cs="Arial"/>
        </w:rPr>
        <w:t xml:space="preserve">and apply </w:t>
      </w:r>
      <w:r>
        <w:rPr>
          <w:rFonts w:cs="Arial"/>
        </w:rPr>
        <w:t xml:space="preserve">the NZ standard </w:t>
      </w:r>
      <w:r w:rsidR="003E3C0F">
        <w:rPr>
          <w:rFonts w:cs="Arial"/>
        </w:rPr>
        <w:t>‘</w:t>
      </w:r>
      <w:r>
        <w:rPr>
          <w:rFonts w:cs="Arial"/>
        </w:rPr>
        <w:t>as is</w:t>
      </w:r>
      <w:r w:rsidR="003E3C0F">
        <w:rPr>
          <w:rFonts w:cs="Arial"/>
        </w:rPr>
        <w:t>’</w:t>
      </w:r>
      <w:r>
        <w:rPr>
          <w:rFonts w:cs="Arial"/>
        </w:rPr>
        <w:t xml:space="preserve"> in the Victorian context</w:t>
      </w:r>
      <w:r w:rsidR="006A795E">
        <w:rPr>
          <w:rFonts w:cs="Arial"/>
        </w:rPr>
        <w:t xml:space="preserve"> (see </w:t>
      </w:r>
      <w:r w:rsidR="006A795E" w:rsidRPr="006A795E">
        <w:rPr>
          <w:rFonts w:cs="Arial"/>
          <w:i/>
        </w:rPr>
        <w:t>Cherry Tree Wind Farm Pty Ltd vs Mitchell Shire Council – VCAT – P2910/2012</w:t>
      </w:r>
      <w:r w:rsidR="006A795E">
        <w:rPr>
          <w:rFonts w:cs="Arial"/>
        </w:rPr>
        <w:t>)</w:t>
      </w:r>
      <w:r>
        <w:rPr>
          <w:rFonts w:cs="Arial"/>
        </w:rPr>
        <w:t xml:space="preserve">. </w:t>
      </w:r>
    </w:p>
    <w:p w14:paraId="5B62F9E5" w14:textId="046EDDA4" w:rsidR="00947ED2" w:rsidRPr="00F47E6D" w:rsidRDefault="00947ED2" w:rsidP="00947ED2">
      <w:pPr>
        <w:pStyle w:val="ListParagraph"/>
        <w:numPr>
          <w:ilvl w:val="0"/>
          <w:numId w:val="0"/>
        </w:numPr>
        <w:ind w:left="360"/>
        <w:rPr>
          <w:rFonts w:cs="Arial"/>
        </w:rPr>
      </w:pPr>
      <w:r>
        <w:rPr>
          <w:rFonts w:cs="Arial"/>
        </w:rPr>
        <w:t>Issues have also arisen regarding the application of tonal noise penalties provided for in the NZ sta</w:t>
      </w:r>
      <w:r w:rsidR="00700979">
        <w:rPr>
          <w:rFonts w:cs="Arial"/>
        </w:rPr>
        <w:t>ndard. The application of the standard is open to interpretation</w:t>
      </w:r>
      <w:r>
        <w:rPr>
          <w:rFonts w:cs="Arial"/>
        </w:rPr>
        <w:t xml:space="preserve"> in that regard, and Victoria must rely on interpretations from N</w:t>
      </w:r>
      <w:r w:rsidR="00206F39">
        <w:rPr>
          <w:rFonts w:cs="Arial"/>
        </w:rPr>
        <w:t>ew Zealand</w:t>
      </w:r>
      <w:r>
        <w:rPr>
          <w:rFonts w:cs="Arial"/>
        </w:rPr>
        <w:t xml:space="preserve"> to attempt to clarify the standard</w:t>
      </w:r>
      <w:r w:rsidR="00395879">
        <w:rPr>
          <w:rFonts w:cs="Arial"/>
        </w:rPr>
        <w:t xml:space="preserve">. This </w:t>
      </w:r>
      <w:r>
        <w:rPr>
          <w:rFonts w:cs="Arial"/>
        </w:rPr>
        <w:t xml:space="preserve">can be difficult </w:t>
      </w:r>
      <w:r w:rsidR="00395879">
        <w:rPr>
          <w:rFonts w:cs="Arial"/>
        </w:rPr>
        <w:t xml:space="preserve">matter to </w:t>
      </w:r>
      <w:r w:rsidR="00395879">
        <w:rPr>
          <w:rFonts w:cs="Arial"/>
        </w:rPr>
        <w:lastRenderedPageBreak/>
        <w:t>resolve</w:t>
      </w:r>
      <w:r w:rsidR="00700979">
        <w:rPr>
          <w:rFonts w:cs="Arial"/>
        </w:rPr>
        <w:t xml:space="preserve">, particularly </w:t>
      </w:r>
      <w:r w:rsidR="00395879">
        <w:rPr>
          <w:rFonts w:cs="Arial"/>
        </w:rPr>
        <w:t>in the event the interpretation</w:t>
      </w:r>
      <w:r>
        <w:rPr>
          <w:rFonts w:cs="Arial"/>
        </w:rPr>
        <w:t xml:space="preserve"> </w:t>
      </w:r>
      <w:r w:rsidR="004D0F84">
        <w:rPr>
          <w:rFonts w:cs="Arial"/>
        </w:rPr>
        <w:t xml:space="preserve">has </w:t>
      </w:r>
      <w:r>
        <w:rPr>
          <w:rFonts w:cs="Arial"/>
        </w:rPr>
        <w:t xml:space="preserve">also </w:t>
      </w:r>
      <w:r w:rsidR="004D0F84">
        <w:rPr>
          <w:rFonts w:cs="Arial"/>
        </w:rPr>
        <w:t>been a topic of debate</w:t>
      </w:r>
      <w:r>
        <w:rPr>
          <w:rFonts w:cs="Arial"/>
        </w:rPr>
        <w:t xml:space="preserve"> in the home country</w:t>
      </w:r>
      <w:r w:rsidR="00543EEE">
        <w:rPr>
          <w:rFonts w:cs="Arial"/>
        </w:rPr>
        <w:t xml:space="preserve"> (see </w:t>
      </w:r>
      <w:r w:rsidR="00543EEE" w:rsidRPr="00395879">
        <w:rPr>
          <w:rFonts w:cs="Arial"/>
          <w:i/>
        </w:rPr>
        <w:t>Decision of Hearing Commissioners re Palmerston North City Council v New Zealand Windfarms Ltd</w:t>
      </w:r>
      <w:r w:rsidR="00700979">
        <w:rPr>
          <w:rFonts w:cs="Arial"/>
          <w:i/>
        </w:rPr>
        <w:t xml:space="preserve"> – </w:t>
      </w:r>
      <w:r w:rsidR="00700979" w:rsidRPr="00657BCC">
        <w:rPr>
          <w:rFonts w:cs="Arial"/>
        </w:rPr>
        <w:t>No</w:t>
      </w:r>
      <w:r w:rsidR="00543EEE" w:rsidRPr="00657BCC">
        <w:rPr>
          <w:rFonts w:cs="Arial"/>
        </w:rPr>
        <w:t>vember 2017</w:t>
      </w:r>
      <w:r w:rsidR="00543EEE">
        <w:rPr>
          <w:rFonts w:cs="Arial"/>
        </w:rPr>
        <w:t>)</w:t>
      </w:r>
      <w:r>
        <w:rPr>
          <w:rFonts w:cs="Arial"/>
        </w:rPr>
        <w:t>.</w:t>
      </w:r>
    </w:p>
    <w:p w14:paraId="7F19AD5D" w14:textId="09E1640B" w:rsidR="00947ED2" w:rsidRPr="00F47E6D" w:rsidRDefault="00947ED2" w:rsidP="00947ED2">
      <w:pPr>
        <w:pStyle w:val="ListParagraph"/>
        <w:numPr>
          <w:ilvl w:val="0"/>
          <w:numId w:val="0"/>
        </w:numPr>
        <w:ind w:left="360"/>
        <w:rPr>
          <w:rFonts w:cs="Arial"/>
        </w:rPr>
      </w:pPr>
      <w:r w:rsidRPr="00F47E6D">
        <w:rPr>
          <w:rFonts w:cs="Arial"/>
        </w:rPr>
        <w:t xml:space="preserve">Typical standards and permit requirements relevant to a wind farm’s development and operation can include matters such as </w:t>
      </w:r>
      <w:r>
        <w:rPr>
          <w:rFonts w:cs="Arial"/>
        </w:rPr>
        <w:t>audible n</w:t>
      </w:r>
      <w:r w:rsidRPr="00F47E6D">
        <w:rPr>
          <w:rFonts w:cs="Arial"/>
        </w:rPr>
        <w:t>oise, shadow flicker, visual ame</w:t>
      </w:r>
      <w:r>
        <w:rPr>
          <w:rFonts w:cs="Arial"/>
        </w:rPr>
        <w:t>nity, set</w:t>
      </w:r>
      <w:r w:rsidRPr="00F47E6D">
        <w:rPr>
          <w:rFonts w:cs="Arial"/>
        </w:rPr>
        <w:t xml:space="preserve">back distances, environmental matters related to flora </w:t>
      </w:r>
      <w:r w:rsidR="00A95E33">
        <w:rPr>
          <w:rFonts w:cs="Arial"/>
        </w:rPr>
        <w:t>and</w:t>
      </w:r>
      <w:r w:rsidRPr="00F47E6D">
        <w:rPr>
          <w:rFonts w:cs="Arial"/>
        </w:rPr>
        <w:t xml:space="preserve"> fauna, and noise and dust levels during construction.</w:t>
      </w:r>
    </w:p>
    <w:p w14:paraId="171CCD90" w14:textId="77777777" w:rsidR="00947ED2" w:rsidRPr="00F47E6D" w:rsidRDefault="00947ED2" w:rsidP="00947ED2">
      <w:pPr>
        <w:pStyle w:val="ListParagraph"/>
        <w:numPr>
          <w:ilvl w:val="0"/>
          <w:numId w:val="0"/>
        </w:numPr>
        <w:ind w:left="360"/>
        <w:rPr>
          <w:rFonts w:cs="Arial"/>
        </w:rPr>
      </w:pPr>
      <w:r w:rsidRPr="00F47E6D">
        <w:rPr>
          <w:rFonts w:cs="Arial"/>
        </w:rPr>
        <w:t>Standards relating to wind farms currently vary by state. For example, the wind farm noise limit standard in Victoria is 40 dB(A)</w:t>
      </w:r>
      <w:r w:rsidRPr="00F47E6D">
        <w:rPr>
          <w:rStyle w:val="FootnoteReference"/>
          <w:rFonts w:cs="Arial"/>
        </w:rPr>
        <w:footnoteReference w:customMarkFollows="1" w:id="1"/>
        <w:t>*</w:t>
      </w:r>
      <w:r w:rsidRPr="00F47E6D">
        <w:rPr>
          <w:rFonts w:cs="Arial"/>
        </w:rPr>
        <w:t xml:space="preserve"> measured outside the residence</w:t>
      </w:r>
      <w:r>
        <w:rPr>
          <w:rFonts w:cs="Arial"/>
        </w:rPr>
        <w:t>.</w:t>
      </w:r>
      <w:r w:rsidRPr="00F47E6D">
        <w:rPr>
          <w:rFonts w:cs="Arial"/>
        </w:rPr>
        <w:t xml:space="preserve"> South Australia varies between 35 dB(A)</w:t>
      </w:r>
      <w:r w:rsidRPr="00F47E6D">
        <w:rPr>
          <w:rStyle w:val="FootnoteReference"/>
          <w:rFonts w:cs="Arial"/>
        </w:rPr>
        <w:footnoteReference w:customMarkFollows="1" w:id="2"/>
        <w:t>*</w:t>
      </w:r>
      <w:r w:rsidRPr="00F47E6D">
        <w:rPr>
          <w:rFonts w:cs="Arial"/>
        </w:rPr>
        <w:t xml:space="preserve"> and 40 dB(A)</w:t>
      </w:r>
      <w:r w:rsidRPr="00F47E6D">
        <w:rPr>
          <w:rStyle w:val="FootnoteReference"/>
          <w:rFonts w:cs="Arial"/>
        </w:rPr>
        <w:footnoteReference w:customMarkFollows="1" w:id="3"/>
        <w:t>*</w:t>
      </w:r>
      <w:r w:rsidRPr="00F47E6D">
        <w:rPr>
          <w:rFonts w:cs="Arial"/>
        </w:rPr>
        <w:t xml:space="preserve"> based on the location of the wind farm, </w:t>
      </w:r>
      <w:r>
        <w:rPr>
          <w:rFonts w:cs="Arial"/>
        </w:rPr>
        <w:t xml:space="preserve">Western Australia is 35 dB(A)*, </w:t>
      </w:r>
      <w:r w:rsidRPr="00F47E6D">
        <w:rPr>
          <w:rFonts w:cs="Arial"/>
        </w:rPr>
        <w:t>N</w:t>
      </w:r>
      <w:r>
        <w:rPr>
          <w:rFonts w:cs="Arial"/>
        </w:rPr>
        <w:t>ew South Wales</w:t>
      </w:r>
      <w:r w:rsidRPr="00F47E6D">
        <w:rPr>
          <w:rFonts w:cs="Arial"/>
        </w:rPr>
        <w:t xml:space="preserve"> is 35 dB(A)</w:t>
      </w:r>
      <w:r w:rsidRPr="00F47E6D">
        <w:rPr>
          <w:rStyle w:val="FootnoteReference"/>
          <w:rFonts w:cs="Arial"/>
        </w:rPr>
        <w:footnoteReference w:customMarkFollows="1" w:id="4"/>
        <w:t>*</w:t>
      </w:r>
      <w:r w:rsidRPr="00F47E6D">
        <w:rPr>
          <w:rFonts w:cs="Arial"/>
        </w:rPr>
        <w:t xml:space="preserve"> and Queensland</w:t>
      </w:r>
      <w:r>
        <w:rPr>
          <w:rFonts w:cs="Arial"/>
        </w:rPr>
        <w:t>’s standard</w:t>
      </w:r>
      <w:r w:rsidRPr="00F47E6D">
        <w:rPr>
          <w:rFonts w:cs="Arial"/>
        </w:rPr>
        <w:t xml:space="preserve"> is 37 dB(A)</w:t>
      </w:r>
      <w:r w:rsidRPr="00F47E6D">
        <w:rPr>
          <w:rStyle w:val="FootnoteReference"/>
          <w:rFonts w:cs="Arial"/>
        </w:rPr>
        <w:footnoteReference w:customMarkFollows="1" w:id="5"/>
        <w:t>*</w:t>
      </w:r>
      <w:r w:rsidRPr="00F47E6D">
        <w:rPr>
          <w:rFonts w:cs="Arial"/>
        </w:rPr>
        <w:t xml:space="preserve"> during the day and 35 dB(A)</w:t>
      </w:r>
      <w:r w:rsidRPr="00F47E6D">
        <w:rPr>
          <w:rStyle w:val="FootnoteReference"/>
          <w:rFonts w:cs="Arial"/>
        </w:rPr>
        <w:footnoteReference w:customMarkFollows="1" w:id="6"/>
        <w:t>*</w:t>
      </w:r>
      <w:r w:rsidRPr="00F47E6D">
        <w:rPr>
          <w:rFonts w:cs="Arial"/>
        </w:rPr>
        <w:t xml:space="preserve"> during the night. The approach to measuring the noise emitted from a wind farm can also vary by project and jurisdiction which can lead to debate over the veracity of the noise assessment results.</w:t>
      </w:r>
    </w:p>
    <w:p w14:paraId="4706BBB1" w14:textId="5D87C3E6" w:rsidR="00947ED2" w:rsidRPr="00F47E6D" w:rsidRDefault="00947ED2" w:rsidP="00947ED2">
      <w:pPr>
        <w:pStyle w:val="ListParagraph"/>
        <w:numPr>
          <w:ilvl w:val="0"/>
          <w:numId w:val="0"/>
        </w:numPr>
        <w:ind w:left="360"/>
        <w:rPr>
          <w:rFonts w:cs="Arial"/>
        </w:rPr>
      </w:pPr>
      <w:r w:rsidRPr="00F47E6D">
        <w:rPr>
          <w:rFonts w:cs="Arial"/>
        </w:rPr>
        <w:t xml:space="preserve">World Health Organisation Guidelines for Community Noise recommends a 30 dB(A) limit, measured inside the residence, to prevent negative effects on sleep. However, it can be difficult and intrusive to carry out </w:t>
      </w:r>
      <w:r w:rsidR="00700979">
        <w:rPr>
          <w:rFonts w:cs="Arial"/>
        </w:rPr>
        <w:t xml:space="preserve">wind farm </w:t>
      </w:r>
      <w:r w:rsidRPr="00F47E6D">
        <w:rPr>
          <w:rFonts w:cs="Arial"/>
        </w:rPr>
        <w:t>noi</w:t>
      </w:r>
      <w:r w:rsidR="00700979">
        <w:rPr>
          <w:rFonts w:cs="Arial"/>
        </w:rPr>
        <w:t>se testing inside a residence, particularly over a long period of time.</w:t>
      </w:r>
    </w:p>
    <w:p w14:paraId="543E66DC" w14:textId="77777777" w:rsidR="00A061EC" w:rsidRDefault="00947ED2" w:rsidP="00947ED2">
      <w:pPr>
        <w:pStyle w:val="ListParagraph"/>
        <w:numPr>
          <w:ilvl w:val="0"/>
          <w:numId w:val="0"/>
        </w:numPr>
        <w:ind w:left="360"/>
        <w:rPr>
          <w:rFonts w:cs="Arial"/>
        </w:rPr>
      </w:pPr>
      <w:r w:rsidRPr="00F47E6D">
        <w:rPr>
          <w:rFonts w:cs="Arial"/>
        </w:rPr>
        <w:t>Current noise standards therefore rely on the effects of attenuation of the noise by the residence structure and would assume that a noise level of</w:t>
      </w:r>
      <w:r>
        <w:rPr>
          <w:rFonts w:cs="Arial"/>
        </w:rPr>
        <w:t>, say,</w:t>
      </w:r>
      <w:r w:rsidRPr="00F47E6D">
        <w:rPr>
          <w:rFonts w:cs="Arial"/>
        </w:rPr>
        <w:t xml:space="preserve"> 40 dB(A) measured outside the residence should be less than 30 dB(A) measured inside, based on an expected attenuation in the order of 10-15 dB(A). This attenuation may be greater if the windows are closed and the residence is of solid construction and well insulated, </w:t>
      </w:r>
      <w:r>
        <w:rPr>
          <w:rFonts w:cs="Arial"/>
        </w:rPr>
        <w:t>however</w:t>
      </w:r>
      <w:r w:rsidRPr="00F47E6D">
        <w:rPr>
          <w:rFonts w:cs="Arial"/>
        </w:rPr>
        <w:t xml:space="preserve"> </w:t>
      </w:r>
      <w:r>
        <w:rPr>
          <w:rFonts w:cs="Arial"/>
        </w:rPr>
        <w:t xml:space="preserve">the effective attenuation </w:t>
      </w:r>
      <w:r w:rsidRPr="00F47E6D">
        <w:rPr>
          <w:rFonts w:cs="Arial"/>
        </w:rPr>
        <w:t xml:space="preserve">may be less if windows are open and/or construction and insulation </w:t>
      </w:r>
      <w:r>
        <w:rPr>
          <w:rFonts w:cs="Arial"/>
        </w:rPr>
        <w:t xml:space="preserve">of the residence </w:t>
      </w:r>
      <w:r w:rsidRPr="00F47E6D">
        <w:rPr>
          <w:rFonts w:cs="Arial"/>
        </w:rPr>
        <w:t>is less robust.</w:t>
      </w:r>
    </w:p>
    <w:p w14:paraId="1B62A802" w14:textId="495C8BE3" w:rsidR="00A061EC" w:rsidRDefault="00A061EC" w:rsidP="00947ED2">
      <w:pPr>
        <w:pStyle w:val="ListParagraph"/>
        <w:numPr>
          <w:ilvl w:val="0"/>
          <w:numId w:val="0"/>
        </w:numPr>
        <w:ind w:left="360"/>
        <w:rPr>
          <w:rFonts w:cs="Arial"/>
        </w:rPr>
      </w:pPr>
      <w:r>
        <w:rPr>
          <w:rFonts w:cs="Arial"/>
        </w:rPr>
        <w:t>Issues can also arise where a wind farm is tested for noise and the result exceeds the limit by a marginal amount – for example 40.2 dB(</w:t>
      </w:r>
      <w:r w:rsidR="00EB2B45">
        <w:rPr>
          <w:rFonts w:cs="Arial"/>
        </w:rPr>
        <w:t>A) against a limit of 40 dB(A).</w:t>
      </w:r>
      <w:r w:rsidR="00206F39">
        <w:rPr>
          <w:rFonts w:cs="Arial"/>
        </w:rPr>
        <w:t xml:space="preserve"> Our understanding is that the 0.2 </w:t>
      </w:r>
      <w:r>
        <w:rPr>
          <w:rFonts w:cs="Arial"/>
        </w:rPr>
        <w:t>dB(A) difference would be undiscernible by the human ear and is the result of the mathematical calculations that ass</w:t>
      </w:r>
      <w:r w:rsidR="00EB2B45">
        <w:rPr>
          <w:rFonts w:cs="Arial"/>
        </w:rPr>
        <w:t>ess multiple noise data points.</w:t>
      </w:r>
      <w:r>
        <w:rPr>
          <w:rFonts w:cs="Arial"/>
        </w:rPr>
        <w:t xml:space="preserve"> There may be some merit in allowing for a small tolerance level to avoid wind farm’s unnecessarily being in technical breach of compliance.</w:t>
      </w:r>
    </w:p>
    <w:p w14:paraId="1478ECEA" w14:textId="5C3F2247" w:rsidR="00947ED2" w:rsidRPr="00F47E6D" w:rsidRDefault="00947ED2" w:rsidP="00947ED2">
      <w:pPr>
        <w:pStyle w:val="ListParagraph"/>
        <w:numPr>
          <w:ilvl w:val="0"/>
          <w:numId w:val="0"/>
        </w:numPr>
        <w:ind w:left="360"/>
        <w:rPr>
          <w:rFonts w:cs="Arial"/>
        </w:rPr>
      </w:pPr>
      <w:r w:rsidRPr="00F47E6D">
        <w:rPr>
          <w:rFonts w:cs="Arial"/>
        </w:rPr>
        <w:t>Debate continues as to whether or not a low frequency standard should also be introduced, such as a dB(C) and/or dB(G) weighting. The prevailing argument to date is that the ‘A</w:t>
      </w:r>
      <w:r w:rsidRPr="00F47E6D">
        <w:rPr>
          <w:rFonts w:cs="Arial"/>
        </w:rPr>
        <w:noBreakHyphen/>
        <w:t xml:space="preserve">weighted scale’ accommodates a sufficient proxy for low frequency noise and that low frequency noise can be difficult to detect at levels that </w:t>
      </w:r>
      <w:r>
        <w:rPr>
          <w:rFonts w:cs="Arial"/>
        </w:rPr>
        <w:t>would breach threshold targets.</w:t>
      </w:r>
      <w:r w:rsidRPr="00F47E6D">
        <w:rPr>
          <w:rFonts w:cs="Arial"/>
        </w:rPr>
        <w:t xml:space="preserve"> However, based on some complaints received, the possibility remains for annoyance for some people </w:t>
      </w:r>
      <w:r>
        <w:rPr>
          <w:rFonts w:cs="Arial"/>
        </w:rPr>
        <w:t>living</w:t>
      </w:r>
      <w:r w:rsidRPr="00F47E6D">
        <w:rPr>
          <w:rFonts w:cs="Arial"/>
        </w:rPr>
        <w:t xml:space="preserve"> in proximity to a wind farm </w:t>
      </w:r>
      <w:r>
        <w:rPr>
          <w:rFonts w:cs="Arial"/>
        </w:rPr>
        <w:t xml:space="preserve">and </w:t>
      </w:r>
      <w:r w:rsidRPr="00F47E6D">
        <w:rPr>
          <w:rFonts w:cs="Arial"/>
        </w:rPr>
        <w:t xml:space="preserve">experiencing low frequency noises while inside their residence. More work is </w:t>
      </w:r>
      <w:r>
        <w:rPr>
          <w:rFonts w:cs="Arial"/>
        </w:rPr>
        <w:t xml:space="preserve">still </w:t>
      </w:r>
      <w:r w:rsidRPr="00F47E6D">
        <w:rPr>
          <w:rFonts w:cs="Arial"/>
        </w:rPr>
        <w:t>required to determine whether or not the noise source in question is the wind farm or some other source.</w:t>
      </w:r>
    </w:p>
    <w:p w14:paraId="7E2581C1" w14:textId="7D30E3B5" w:rsidR="00947ED2" w:rsidRPr="00F47E6D" w:rsidRDefault="00947ED2" w:rsidP="00947ED2">
      <w:pPr>
        <w:pStyle w:val="ListParagraph"/>
        <w:numPr>
          <w:ilvl w:val="0"/>
          <w:numId w:val="0"/>
        </w:numPr>
        <w:ind w:left="360"/>
        <w:rPr>
          <w:rFonts w:cs="Arial"/>
        </w:rPr>
      </w:pPr>
      <w:r w:rsidRPr="00F47E6D">
        <w:rPr>
          <w:rFonts w:cs="Arial"/>
        </w:rPr>
        <w:t xml:space="preserve">Setback distances </w:t>
      </w:r>
      <w:r>
        <w:rPr>
          <w:rFonts w:cs="Arial"/>
        </w:rPr>
        <w:t>from</w:t>
      </w:r>
      <w:r w:rsidRPr="00F47E6D">
        <w:rPr>
          <w:rFonts w:cs="Arial"/>
        </w:rPr>
        <w:t xml:space="preserve"> the turbine </w:t>
      </w:r>
      <w:r>
        <w:rPr>
          <w:rFonts w:cs="Arial"/>
        </w:rPr>
        <w:t xml:space="preserve">to </w:t>
      </w:r>
      <w:r w:rsidRPr="00F47E6D">
        <w:rPr>
          <w:rFonts w:cs="Arial"/>
        </w:rPr>
        <w:t>a residence also vary.</w:t>
      </w:r>
      <w:r w:rsidR="00E84A5D">
        <w:rPr>
          <w:rFonts w:cs="Arial"/>
        </w:rPr>
        <w:t xml:space="preserve"> Victoria originally had no set</w:t>
      </w:r>
      <w:r w:rsidRPr="00F47E6D">
        <w:rPr>
          <w:rFonts w:cs="Arial"/>
        </w:rPr>
        <w:t>ba</w:t>
      </w:r>
      <w:r>
        <w:rPr>
          <w:rFonts w:cs="Arial"/>
        </w:rPr>
        <w:t>ck distance, then introduced a 2</w:t>
      </w:r>
      <w:r w:rsidR="00700979">
        <w:rPr>
          <w:rFonts w:cs="Arial"/>
        </w:rPr>
        <w:t>.0</w:t>
      </w:r>
      <w:r w:rsidR="00E84A5D">
        <w:rPr>
          <w:rFonts w:cs="Arial"/>
        </w:rPr>
        <w:t xml:space="preserve"> km set</w:t>
      </w:r>
      <w:r w:rsidRPr="00F47E6D">
        <w:rPr>
          <w:rFonts w:cs="Arial"/>
        </w:rPr>
        <w:t>back distance in 2011 and</w:t>
      </w:r>
      <w:r>
        <w:rPr>
          <w:rFonts w:cs="Arial"/>
        </w:rPr>
        <w:t>,</w:t>
      </w:r>
      <w:r w:rsidRPr="00F47E6D">
        <w:rPr>
          <w:rFonts w:cs="Arial"/>
        </w:rPr>
        <w:t xml:space="preserve"> subsequently</w:t>
      </w:r>
      <w:r>
        <w:rPr>
          <w:rFonts w:cs="Arial"/>
        </w:rPr>
        <w:t>,</w:t>
      </w:r>
      <w:r w:rsidRPr="00F47E6D">
        <w:rPr>
          <w:rFonts w:cs="Arial"/>
        </w:rPr>
        <w:t xml:space="preserve"> changed it to </w:t>
      </w:r>
      <w:r>
        <w:rPr>
          <w:rFonts w:cs="Arial"/>
        </w:rPr>
        <w:t>1</w:t>
      </w:r>
      <w:r w:rsidR="00700979">
        <w:rPr>
          <w:rFonts w:cs="Arial"/>
        </w:rPr>
        <w:t>.0</w:t>
      </w:r>
      <w:r w:rsidR="00E84A5D">
        <w:rPr>
          <w:rFonts w:cs="Arial"/>
        </w:rPr>
        <w:t xml:space="preserve"> </w:t>
      </w:r>
      <w:r w:rsidRPr="00192DFB">
        <w:rPr>
          <w:rFonts w:cs="Arial"/>
        </w:rPr>
        <w:t>km</w:t>
      </w:r>
      <w:r w:rsidRPr="00F47E6D">
        <w:rPr>
          <w:rFonts w:cs="Arial"/>
        </w:rPr>
        <w:t xml:space="preserve"> in 2015. Queensland has intro</w:t>
      </w:r>
      <w:r w:rsidR="00EB2B45">
        <w:rPr>
          <w:rFonts w:cs="Arial"/>
        </w:rPr>
        <w:t>duced a setback distance of 1.5</w:t>
      </w:r>
      <w:r w:rsidR="00E84A5D">
        <w:rPr>
          <w:rFonts w:cs="Arial"/>
        </w:rPr>
        <w:t xml:space="preserve"> </w:t>
      </w:r>
      <w:r w:rsidRPr="00F47E6D">
        <w:rPr>
          <w:rFonts w:cs="Arial"/>
        </w:rPr>
        <w:t xml:space="preserve">km, while </w:t>
      </w:r>
      <w:r w:rsidRPr="002E6480">
        <w:rPr>
          <w:rFonts w:cs="Arial"/>
        </w:rPr>
        <w:t>New South Wales framework is based on a merit assessment of each project against the criteria and perform</w:t>
      </w:r>
      <w:r>
        <w:rPr>
          <w:rFonts w:cs="Arial"/>
        </w:rPr>
        <w:t xml:space="preserve">ance standards in the framework. </w:t>
      </w:r>
      <w:r w:rsidR="00700979">
        <w:rPr>
          <w:rFonts w:cs="Arial"/>
        </w:rPr>
        <w:t>Western Australia is considering our recommendation of a 1.5</w:t>
      </w:r>
      <w:r w:rsidR="00E84A5D">
        <w:rPr>
          <w:rFonts w:cs="Arial"/>
        </w:rPr>
        <w:t xml:space="preserve"> km set</w:t>
      </w:r>
      <w:r w:rsidR="00700979">
        <w:rPr>
          <w:rFonts w:cs="Arial"/>
        </w:rPr>
        <w:t xml:space="preserve">back. </w:t>
      </w:r>
      <w:r>
        <w:rPr>
          <w:rFonts w:cs="Arial"/>
        </w:rPr>
        <w:t>N</w:t>
      </w:r>
      <w:r w:rsidRPr="002E6480">
        <w:rPr>
          <w:rFonts w:cs="Arial"/>
        </w:rPr>
        <w:t>ote, turbines can be closer</w:t>
      </w:r>
      <w:r w:rsidR="00657BCC">
        <w:rPr>
          <w:rFonts w:cs="Arial"/>
        </w:rPr>
        <w:t xml:space="preserve"> </w:t>
      </w:r>
      <w:r w:rsidRPr="002E6480">
        <w:rPr>
          <w:rFonts w:cs="Arial"/>
        </w:rPr>
        <w:t xml:space="preserve">to a residence than the </w:t>
      </w:r>
      <w:r>
        <w:rPr>
          <w:rFonts w:cs="Arial"/>
        </w:rPr>
        <w:t xml:space="preserve">default </w:t>
      </w:r>
      <w:r w:rsidRPr="002E6480">
        <w:rPr>
          <w:rFonts w:cs="Arial"/>
        </w:rPr>
        <w:t>setback distance, however typically require an agreement to be reached between the resident p</w:t>
      </w:r>
      <w:r>
        <w:rPr>
          <w:rFonts w:cs="Arial"/>
        </w:rPr>
        <w:t>roperty owner and the developer</w:t>
      </w:r>
      <w:r w:rsidRPr="002E6480">
        <w:rPr>
          <w:rFonts w:cs="Arial"/>
        </w:rPr>
        <w:t xml:space="preserve">. </w:t>
      </w:r>
    </w:p>
    <w:p w14:paraId="7FEFC484" w14:textId="69FE9582" w:rsidR="00947ED2" w:rsidRDefault="00947ED2" w:rsidP="00947ED2">
      <w:pPr>
        <w:pStyle w:val="ListParagraph"/>
        <w:numPr>
          <w:ilvl w:val="0"/>
          <w:numId w:val="0"/>
        </w:numPr>
        <w:ind w:left="360"/>
        <w:rPr>
          <w:rFonts w:cs="Arial"/>
        </w:rPr>
      </w:pPr>
      <w:r>
        <w:rPr>
          <w:rFonts w:cs="Arial"/>
        </w:rPr>
        <w:t xml:space="preserve">While setback distances are typically based on the distance from the wind turbine to the residence, there may also be circumstances where the distance of the turbine from the neighbour’s property </w:t>
      </w:r>
      <w:r>
        <w:rPr>
          <w:rFonts w:cs="Arial"/>
        </w:rPr>
        <w:lastRenderedPageBreak/>
        <w:t>boundary should also be a consideration. Such circumstances could include the potential effect of wind turbines on animals such as horses, or other situations where turbines may impact neighbouring properties due to their proximity to land use activities on a property. The British Horse Society recom</w:t>
      </w:r>
      <w:r w:rsidR="00EB2B45">
        <w:rPr>
          <w:rFonts w:cs="Arial"/>
        </w:rPr>
        <w:t>mends a setback distance of 200</w:t>
      </w:r>
      <w:r>
        <w:rPr>
          <w:rFonts w:cs="Arial"/>
        </w:rPr>
        <w:t xml:space="preserve">m from wind turbines to horses on the basis that horses can react to noise, blade rotation and shadow flicker impacts from wind turbines, as outlined in their publication </w:t>
      </w:r>
      <w:r w:rsidRPr="00B6283A">
        <w:rPr>
          <w:rFonts w:cs="Arial"/>
          <w:i/>
        </w:rPr>
        <w:t>Wind Turbines and Horses – Guidance for Planners and Developers</w:t>
      </w:r>
      <w:r w:rsidRPr="00B6283A">
        <w:rPr>
          <w:rFonts w:cs="Arial"/>
        </w:rPr>
        <w:t xml:space="preserve"> (2015</w:t>
      </w:r>
      <w:r>
        <w:rPr>
          <w:rFonts w:cs="Arial"/>
        </w:rPr>
        <w:t>).</w:t>
      </w:r>
    </w:p>
    <w:p w14:paraId="2C530273" w14:textId="77777777" w:rsidR="00947ED2" w:rsidRDefault="00947ED2" w:rsidP="00947ED2">
      <w:pPr>
        <w:pStyle w:val="ListParagraph"/>
        <w:numPr>
          <w:ilvl w:val="0"/>
          <w:numId w:val="0"/>
        </w:numPr>
        <w:ind w:left="360"/>
        <w:rPr>
          <w:rFonts w:cs="Arial"/>
        </w:rPr>
      </w:pPr>
      <w:r w:rsidRPr="00F47E6D">
        <w:rPr>
          <w:rFonts w:cs="Arial"/>
        </w:rPr>
        <w:t>There may be other sources of noise as a result of the wind farm’s operation, in particular noise that would emanate from the wind farm’s electrical infr</w:t>
      </w:r>
      <w:r>
        <w:rPr>
          <w:rFonts w:cs="Arial"/>
        </w:rPr>
        <w:t>astructure, including power sub</w:t>
      </w:r>
      <w:r w:rsidRPr="00F47E6D">
        <w:rPr>
          <w:rFonts w:cs="Arial"/>
        </w:rPr>
        <w:t>stations, transformers and back-up generators. The impact of such noise sources should be assessed during the design phase and tested for compliance during any post-construction noise testing.</w:t>
      </w:r>
    </w:p>
    <w:p w14:paraId="0791D16B" w14:textId="688D50D0" w:rsidR="00947ED2" w:rsidRDefault="00947ED2" w:rsidP="00947ED2">
      <w:pPr>
        <w:pStyle w:val="ListParagraph"/>
        <w:numPr>
          <w:ilvl w:val="0"/>
          <w:numId w:val="0"/>
        </w:numPr>
        <w:ind w:left="360"/>
        <w:rPr>
          <w:rFonts w:cs="Arial"/>
        </w:rPr>
      </w:pPr>
      <w:r>
        <w:rPr>
          <w:rFonts w:cs="Arial"/>
        </w:rPr>
        <w:t>Electrical infrastructure required for the wind farm, such as transmission lines, may also cause a change in visual amenity for community members. Consideration should be given for those impacts and setback distances may also be appropriate to mitigate visual amenity loss and noise issues arising from the infrastructure.</w:t>
      </w:r>
    </w:p>
    <w:p w14:paraId="001BAEF8" w14:textId="77777777" w:rsidR="00947ED2" w:rsidRDefault="00947ED2" w:rsidP="00947ED2">
      <w:pPr>
        <w:pStyle w:val="ListParagraph"/>
        <w:numPr>
          <w:ilvl w:val="0"/>
          <w:numId w:val="0"/>
        </w:numPr>
        <w:ind w:left="360"/>
        <w:rPr>
          <w:rFonts w:cs="Arial"/>
        </w:rPr>
      </w:pPr>
      <w:r w:rsidRPr="00F47E6D">
        <w:rPr>
          <w:rFonts w:cs="Arial"/>
        </w:rPr>
        <w:t xml:space="preserve">The opportunity exists for a clearer framework of standard setting and enforcement of standards, whereby there is independence in the setting and enforcement of standards from the </w:t>
      </w:r>
      <w:r>
        <w:rPr>
          <w:rFonts w:cs="Arial"/>
        </w:rPr>
        <w:t>planning function</w:t>
      </w:r>
      <w:r w:rsidRPr="00F47E6D">
        <w:rPr>
          <w:rFonts w:cs="Arial"/>
        </w:rPr>
        <w:t>. Such independence allows for increased community confidence in the objectivity of setting standards and assessing compliance. It also allows the relevant independent agency to acquire and maintain the appropriate skills and expertise to fulfil its standards a</w:t>
      </w:r>
      <w:r>
        <w:rPr>
          <w:rFonts w:cs="Arial"/>
        </w:rPr>
        <w:t>nd compliance responsibilities.</w:t>
      </w:r>
    </w:p>
    <w:p w14:paraId="4114234E" w14:textId="66BA9B87" w:rsidR="00947ED2" w:rsidRPr="003C34D6" w:rsidRDefault="00947ED2" w:rsidP="00947ED2">
      <w:pPr>
        <w:pStyle w:val="ListParagraph"/>
        <w:numPr>
          <w:ilvl w:val="0"/>
          <w:numId w:val="0"/>
        </w:numPr>
        <w:ind w:left="360"/>
        <w:rPr>
          <w:rFonts w:cs="Arial"/>
        </w:rPr>
      </w:pPr>
      <w:r w:rsidRPr="00F47E6D">
        <w:rPr>
          <w:rFonts w:cs="Arial"/>
        </w:rPr>
        <w:t xml:space="preserve">The opportunity also exists for </w:t>
      </w:r>
      <w:r>
        <w:rPr>
          <w:rFonts w:cs="Arial"/>
        </w:rPr>
        <w:t>increased</w:t>
      </w:r>
      <w:r w:rsidRPr="00F47E6D">
        <w:rPr>
          <w:rFonts w:cs="Arial"/>
        </w:rPr>
        <w:t xml:space="preserve"> harmonisation of key standards across state juris</w:t>
      </w:r>
      <w:r>
        <w:rPr>
          <w:rFonts w:cs="Arial"/>
        </w:rPr>
        <w:t>dictions, such as noise and set</w:t>
      </w:r>
      <w:r w:rsidRPr="00F47E6D">
        <w:rPr>
          <w:rFonts w:cs="Arial"/>
        </w:rPr>
        <w:t>back distances, providing a consistent approach and expectations for governments, industry and the community.</w:t>
      </w:r>
      <w:r>
        <w:rPr>
          <w:rFonts w:cs="Arial"/>
        </w:rPr>
        <w:t xml:space="preserve"> Consistency across the states will not only provide a more equitable outcome for residents potentially affected by wind farms, but </w:t>
      </w:r>
      <w:r w:rsidRPr="00E548DA">
        <w:rPr>
          <w:rStyle w:val="Emphasis"/>
          <w:rFonts w:cs="Arial"/>
          <w:bCs/>
          <w:i w:val="0"/>
          <w:color w:val="000000"/>
        </w:rPr>
        <w:t>may also result in the additional benefit of driving improvements in the technology across the entire market based on the more stringent standard</w:t>
      </w:r>
      <w:r>
        <w:rPr>
          <w:rStyle w:val="Emphasis"/>
          <w:rFonts w:cs="Arial"/>
          <w:bCs/>
          <w:color w:val="000000"/>
        </w:rPr>
        <w:t>.</w:t>
      </w:r>
    </w:p>
    <w:p w14:paraId="3C9B3E8E" w14:textId="77777777" w:rsidR="00947ED2" w:rsidRPr="00F47E6D" w:rsidRDefault="00947ED2" w:rsidP="00947ED2">
      <w:pPr>
        <w:pStyle w:val="ListParagraph"/>
        <w:numPr>
          <w:ilvl w:val="0"/>
          <w:numId w:val="0"/>
        </w:numPr>
        <w:ind w:left="360"/>
        <w:rPr>
          <w:rFonts w:cs="Arial"/>
        </w:rPr>
      </w:pPr>
      <w:r w:rsidRPr="00F47E6D">
        <w:rPr>
          <w:rFonts w:cs="Arial"/>
        </w:rPr>
        <w:t xml:space="preserve">While there may be a number of ways to address these issues, best practice appears to be vesting the setting and compliance oversight of environmental-related wind farm standards with the state environmental regulator, while the application of the standards to specific projects rests with the state or local government planning body. The current arrangements in place in </w:t>
      </w:r>
      <w:r w:rsidRPr="00A80CD1">
        <w:rPr>
          <w:rFonts w:cs="Arial"/>
        </w:rPr>
        <w:t>New South Wales</w:t>
      </w:r>
      <w:r w:rsidRPr="00F47E6D">
        <w:rPr>
          <w:rFonts w:cs="Arial"/>
        </w:rPr>
        <w:t xml:space="preserve"> and South Australia generally reflect practices along these lines.</w:t>
      </w:r>
    </w:p>
    <w:p w14:paraId="7D1546B4" w14:textId="64559A17" w:rsidR="00497E06" w:rsidRDefault="00947ED2" w:rsidP="00947ED2">
      <w:pPr>
        <w:pStyle w:val="ListParagraph"/>
        <w:numPr>
          <w:ilvl w:val="0"/>
          <w:numId w:val="0"/>
        </w:numPr>
        <w:ind w:left="360"/>
        <w:rPr>
          <w:rFonts w:cs="Arial"/>
        </w:rPr>
      </w:pPr>
      <w:r w:rsidRPr="002E6480">
        <w:rPr>
          <w:rFonts w:cs="Arial"/>
        </w:rPr>
        <w:t xml:space="preserve">Finally, once a wind </w:t>
      </w:r>
      <w:r>
        <w:rPr>
          <w:rFonts w:cs="Arial"/>
        </w:rPr>
        <w:t xml:space="preserve">farm commences operations, it </w:t>
      </w:r>
      <w:r w:rsidR="00497E06">
        <w:rPr>
          <w:rFonts w:cs="Arial"/>
        </w:rPr>
        <w:t>has not achieved compliance until all of the post-construction compliance testing h</w:t>
      </w:r>
      <w:r w:rsidR="00EB2B45">
        <w:rPr>
          <w:rFonts w:cs="Arial"/>
        </w:rPr>
        <w:t>as been completed and accepted.</w:t>
      </w:r>
      <w:r w:rsidR="00497E06">
        <w:rPr>
          <w:rFonts w:cs="Arial"/>
        </w:rPr>
        <w:t xml:space="preserve"> A wind farm </w:t>
      </w:r>
      <w:r>
        <w:rPr>
          <w:rFonts w:cs="Arial"/>
        </w:rPr>
        <w:t>may be</w:t>
      </w:r>
      <w:r w:rsidRPr="002E6480">
        <w:rPr>
          <w:rFonts w:cs="Arial"/>
        </w:rPr>
        <w:t xml:space="preserve"> </w:t>
      </w:r>
      <w:r w:rsidR="00EB2B45">
        <w:rPr>
          <w:rFonts w:cs="Arial"/>
        </w:rPr>
        <w:t>‘</w:t>
      </w:r>
      <w:r w:rsidRPr="002E6480">
        <w:rPr>
          <w:rFonts w:cs="Arial"/>
        </w:rPr>
        <w:t>deemed</w:t>
      </w:r>
      <w:r w:rsidR="00EB2B45">
        <w:rPr>
          <w:rFonts w:cs="Arial"/>
        </w:rPr>
        <w:t>’</w:t>
      </w:r>
      <w:r w:rsidRPr="002E6480">
        <w:rPr>
          <w:rFonts w:cs="Arial"/>
        </w:rPr>
        <w:t xml:space="preserve"> to be compliant </w:t>
      </w:r>
      <w:r>
        <w:rPr>
          <w:rFonts w:cs="Arial"/>
        </w:rPr>
        <w:t xml:space="preserve">in some jurisdictions </w:t>
      </w:r>
      <w:r w:rsidRPr="002E6480">
        <w:rPr>
          <w:rFonts w:cs="Arial"/>
        </w:rPr>
        <w:t xml:space="preserve">even though post-construction assessments have not commenced or </w:t>
      </w:r>
      <w:r w:rsidR="00862BD1">
        <w:rPr>
          <w:rFonts w:cs="Arial"/>
        </w:rPr>
        <w:t xml:space="preserve">been </w:t>
      </w:r>
      <w:r w:rsidRPr="002E6480">
        <w:rPr>
          <w:rFonts w:cs="Arial"/>
        </w:rPr>
        <w:t xml:space="preserve">completed. There </w:t>
      </w:r>
      <w:r>
        <w:rPr>
          <w:rFonts w:cs="Arial"/>
        </w:rPr>
        <w:t xml:space="preserve">may be an opportunity to introduce more </w:t>
      </w:r>
      <w:r w:rsidRPr="002E6480">
        <w:rPr>
          <w:rFonts w:cs="Arial"/>
        </w:rPr>
        <w:t>formal process</w:t>
      </w:r>
      <w:r>
        <w:rPr>
          <w:rFonts w:cs="Arial"/>
        </w:rPr>
        <w:t>es</w:t>
      </w:r>
      <w:r w:rsidRPr="002E6480">
        <w:rPr>
          <w:rFonts w:cs="Arial"/>
        </w:rPr>
        <w:t xml:space="preserve"> to properly confirm that a wind farm is actually compliant </w:t>
      </w:r>
      <w:r w:rsidR="00497E06">
        <w:rPr>
          <w:rFonts w:cs="Arial"/>
        </w:rPr>
        <w:t xml:space="preserve">once all of the required testing is complete – and the </w:t>
      </w:r>
      <w:r w:rsidRPr="002E6480">
        <w:rPr>
          <w:rFonts w:cs="Arial"/>
        </w:rPr>
        <w:t xml:space="preserve">timeframe for which that must occur. This ‘grey area’ </w:t>
      </w:r>
      <w:r w:rsidR="00497E06">
        <w:rPr>
          <w:rFonts w:cs="Arial"/>
        </w:rPr>
        <w:t xml:space="preserve">of uncertainty of compliance </w:t>
      </w:r>
      <w:r w:rsidRPr="002E6480">
        <w:rPr>
          <w:rFonts w:cs="Arial"/>
        </w:rPr>
        <w:t>can cause a range of community concerns</w:t>
      </w:r>
      <w:r w:rsidR="00497E06">
        <w:rPr>
          <w:rFonts w:cs="Arial"/>
        </w:rPr>
        <w:t xml:space="preserve"> and also be costly for governing bodies</w:t>
      </w:r>
      <w:r w:rsidRPr="002E6480">
        <w:rPr>
          <w:rFonts w:cs="Arial"/>
        </w:rPr>
        <w:t xml:space="preserve">. </w:t>
      </w:r>
    </w:p>
    <w:p w14:paraId="2ABB9FEF" w14:textId="0C344D62" w:rsidR="00947ED2" w:rsidRDefault="00947ED2" w:rsidP="00947ED2">
      <w:pPr>
        <w:pStyle w:val="ListParagraph"/>
        <w:numPr>
          <w:ilvl w:val="0"/>
          <w:numId w:val="0"/>
        </w:numPr>
        <w:ind w:left="360"/>
        <w:rPr>
          <w:rFonts w:cs="Arial"/>
        </w:rPr>
      </w:pPr>
      <w:r w:rsidRPr="002E6480">
        <w:rPr>
          <w:rFonts w:cs="Arial"/>
        </w:rPr>
        <w:t xml:space="preserve">Anecdotally, some wind farms have been described as being ‘not non-compliant’ when unable to </w:t>
      </w:r>
      <w:r w:rsidR="00497E06">
        <w:rPr>
          <w:rFonts w:cs="Arial"/>
        </w:rPr>
        <w:t xml:space="preserve">confirm </w:t>
      </w:r>
      <w:r w:rsidRPr="002E6480">
        <w:rPr>
          <w:rFonts w:cs="Arial"/>
        </w:rPr>
        <w:t>compliance with required permit conditions, highlighting the difficulty of declaring a wind farm to be ‘non-compliant’ when its default status is compliant.</w:t>
      </w:r>
      <w:r w:rsidR="00497E06">
        <w:rPr>
          <w:rFonts w:cs="Arial"/>
        </w:rPr>
        <w:t xml:space="preserve"> In addition, it may be appropriate to consider that a wind farm is deemed to be compliant during the commissioning and testing periods, but ongoing compliance is subject to final confirmation by the responsible or regulatory authority.</w:t>
      </w:r>
    </w:p>
    <w:p w14:paraId="7AF35F33" w14:textId="77777777" w:rsidR="00947ED2" w:rsidRPr="00F47E6D" w:rsidRDefault="00947ED2" w:rsidP="00947ED2">
      <w:pPr>
        <w:pStyle w:val="ListParagraph"/>
        <w:numPr>
          <w:ilvl w:val="0"/>
          <w:numId w:val="0"/>
        </w:numPr>
        <w:ind w:left="360"/>
        <w:rPr>
          <w:rFonts w:cs="Arial"/>
        </w:rPr>
      </w:pPr>
      <w:r>
        <w:rPr>
          <w:rFonts w:cs="Arial"/>
        </w:rPr>
        <w:t xml:space="preserve">From our observations, a solution to this issue is for a wind farm to be licensed by the appropriate environmental regulator. Under this scenario, the wind farm would need to confirm and maintain its </w:t>
      </w:r>
      <w:r>
        <w:rPr>
          <w:rFonts w:cs="Arial"/>
        </w:rPr>
        <w:lastRenderedPageBreak/>
        <w:t>compliance with the applicable license and permit conditions or risk losing its license to operate in the event of unrectified material breaches of the license and/or permit conditions.</w:t>
      </w:r>
    </w:p>
    <w:p w14:paraId="7F212983" w14:textId="519BA6F3" w:rsidR="008039BA" w:rsidRPr="00657BCC" w:rsidRDefault="00947ED2" w:rsidP="00657BCC">
      <w:pPr>
        <w:pStyle w:val="ListParagraph"/>
        <w:numPr>
          <w:ilvl w:val="0"/>
          <w:numId w:val="0"/>
        </w:numPr>
        <w:ind w:left="360"/>
        <w:rPr>
          <w:rFonts w:cs="Arial"/>
        </w:rPr>
      </w:pPr>
      <w:r w:rsidRPr="00F47E6D">
        <w:rPr>
          <w:rFonts w:cs="Arial"/>
        </w:rPr>
        <w:t xml:space="preserve">Measurement </w:t>
      </w:r>
      <w:r>
        <w:rPr>
          <w:rFonts w:cs="Arial"/>
        </w:rPr>
        <w:t xml:space="preserve">approaches for measuring compliance with the </w:t>
      </w:r>
      <w:r w:rsidRPr="00F47E6D">
        <w:rPr>
          <w:rFonts w:cs="Arial"/>
        </w:rPr>
        <w:t>standards can also vary between projects and jurisdictions. Given the extraordinary number of variables</w:t>
      </w:r>
      <w:r>
        <w:rPr>
          <w:rFonts w:cs="Arial"/>
        </w:rPr>
        <w:t xml:space="preserve"> to be measured</w:t>
      </w:r>
      <w:r w:rsidRPr="00F47E6D">
        <w:rPr>
          <w:rFonts w:cs="Arial"/>
        </w:rPr>
        <w:t>, c</w:t>
      </w:r>
      <w:r>
        <w:rPr>
          <w:rFonts w:cs="Arial"/>
        </w:rPr>
        <w:t>onsideration needs to be given to</w:t>
      </w:r>
      <w:r w:rsidRPr="00F47E6D">
        <w:rPr>
          <w:rFonts w:cs="Arial"/>
        </w:rPr>
        <w:t xml:space="preserve"> the consistency of measurement, calculations and reporting for assessing environmental me</w:t>
      </w:r>
      <w:r>
        <w:rPr>
          <w:rFonts w:cs="Arial"/>
        </w:rPr>
        <w:t xml:space="preserve">asures such as noise and flora </w:t>
      </w:r>
      <w:r w:rsidR="003C34D6">
        <w:rPr>
          <w:rFonts w:cs="Arial"/>
        </w:rPr>
        <w:t>and</w:t>
      </w:r>
      <w:r w:rsidR="003C34D6" w:rsidRPr="00F47E6D">
        <w:rPr>
          <w:rFonts w:cs="Arial"/>
        </w:rPr>
        <w:t xml:space="preserve"> </w:t>
      </w:r>
      <w:r w:rsidRPr="00F47E6D">
        <w:rPr>
          <w:rFonts w:cs="Arial"/>
        </w:rPr>
        <w:t>fauna impacts</w:t>
      </w:r>
      <w:r>
        <w:rPr>
          <w:rFonts w:cs="Arial"/>
        </w:rPr>
        <w:t xml:space="preserve"> </w:t>
      </w:r>
      <w:r w:rsidRPr="00F47E6D">
        <w:rPr>
          <w:rFonts w:cs="Arial"/>
        </w:rPr>
        <w:t>wh</w:t>
      </w:r>
      <w:r>
        <w:rPr>
          <w:rFonts w:cs="Arial"/>
        </w:rPr>
        <w:t>en setting permit or license conditions</w:t>
      </w:r>
      <w:r w:rsidRPr="00F47E6D">
        <w:rPr>
          <w:rFonts w:cs="Arial"/>
        </w:rPr>
        <w:t xml:space="preserve">. For example, there is much scope for variability when determining the </w:t>
      </w:r>
      <w:r>
        <w:rPr>
          <w:rFonts w:cs="Arial"/>
        </w:rPr>
        <w:t>‘</w:t>
      </w:r>
      <w:r w:rsidRPr="00F47E6D">
        <w:rPr>
          <w:rFonts w:cs="Arial"/>
        </w:rPr>
        <w:t>line of best fit</w:t>
      </w:r>
      <w:r>
        <w:rPr>
          <w:rFonts w:cs="Arial"/>
        </w:rPr>
        <w:t>’</w:t>
      </w:r>
      <w:r w:rsidRPr="00F47E6D">
        <w:rPr>
          <w:rFonts w:cs="Arial"/>
        </w:rPr>
        <w:t xml:space="preserve"> for a set of noise data points</w:t>
      </w:r>
      <w:r w:rsidR="003C34D6">
        <w:rPr>
          <w:rFonts w:cs="Arial"/>
        </w:rPr>
        <w:t xml:space="preserve"> </w:t>
      </w:r>
      <w:r w:rsidRPr="00F47E6D">
        <w:rPr>
          <w:rFonts w:cs="Arial"/>
        </w:rPr>
        <w:t>–</w:t>
      </w:r>
      <w:r w:rsidR="003C34D6">
        <w:rPr>
          <w:rFonts w:cs="Arial"/>
        </w:rPr>
        <w:t xml:space="preserve"> </w:t>
      </w:r>
      <w:r w:rsidRPr="00F47E6D">
        <w:rPr>
          <w:rFonts w:cs="Arial"/>
        </w:rPr>
        <w:t>such variances could mean the difference between compliance or otherwise</w:t>
      </w:r>
      <w:r>
        <w:rPr>
          <w:rFonts w:cs="Arial"/>
        </w:rPr>
        <w:t xml:space="preserve"> when assessing the results of a noise testing program.</w:t>
      </w:r>
      <w:r w:rsidR="00657BCC">
        <w:rPr>
          <w:rFonts w:cs="Arial"/>
        </w:rPr>
        <w:t xml:space="preserve"> </w:t>
      </w:r>
    </w:p>
    <w:p w14:paraId="17AC5488" w14:textId="77777777" w:rsidR="00947ED2" w:rsidRPr="00F47E6D" w:rsidRDefault="00947ED2" w:rsidP="00D35B01">
      <w:pPr>
        <w:pStyle w:val="ListParagraph"/>
        <w:numPr>
          <w:ilvl w:val="1"/>
          <w:numId w:val="8"/>
        </w:numPr>
        <w:rPr>
          <w:rFonts w:cs="Arial"/>
          <w:b/>
        </w:rPr>
      </w:pPr>
      <w:r w:rsidRPr="00F47E6D">
        <w:rPr>
          <w:rFonts w:cs="Arial"/>
          <w:b/>
        </w:rPr>
        <w:t xml:space="preserve">Recommendations </w:t>
      </w:r>
    </w:p>
    <w:p w14:paraId="493398A8" w14:textId="1FED7B30" w:rsidR="00947ED2" w:rsidRPr="00F47E6D" w:rsidRDefault="00947ED2" w:rsidP="00D35B01">
      <w:pPr>
        <w:pStyle w:val="ListParagraph"/>
        <w:numPr>
          <w:ilvl w:val="2"/>
          <w:numId w:val="8"/>
        </w:numPr>
        <w:ind w:left="1400" w:hanging="680"/>
        <w:rPr>
          <w:rFonts w:cs="Arial"/>
        </w:rPr>
      </w:pPr>
      <w:r w:rsidRPr="00F47E6D">
        <w:rPr>
          <w:rFonts w:cs="Arial"/>
        </w:rPr>
        <w:t xml:space="preserve">State governments should review </w:t>
      </w:r>
      <w:r>
        <w:rPr>
          <w:rFonts w:cs="Arial"/>
        </w:rPr>
        <w:t xml:space="preserve">and clarify </w:t>
      </w:r>
      <w:r w:rsidRPr="00F47E6D">
        <w:rPr>
          <w:rFonts w:cs="Arial"/>
        </w:rPr>
        <w:t xml:space="preserve">their current arrangements for the setting of wind farm environmental standards and oversight </w:t>
      </w:r>
      <w:r w:rsidR="00353BC0">
        <w:rPr>
          <w:rFonts w:cs="Arial"/>
        </w:rPr>
        <w:t xml:space="preserve">and confirmation </w:t>
      </w:r>
      <w:r w:rsidRPr="00F47E6D">
        <w:rPr>
          <w:rFonts w:cs="Arial"/>
        </w:rPr>
        <w:t>of compliance with those standards.</w:t>
      </w:r>
      <w:r>
        <w:rPr>
          <w:rFonts w:cs="Arial"/>
        </w:rPr>
        <w:t xml:space="preserve"> It is strongly preferred that the department or agency setting and maintaining the various wind farm standards is independent of the department or agency responsible for planning and applying those standards. In addition, the compliance authorities for a wind farm should be clearly defined, transparent, accessible to the community and able to receive and investigate allegations of compliance breaches. Where compliance oversight currently rests with local government, appropriate support and resources should be made available to the council/shire to enable them to effectively perform their compliance and investigative responsibilities, including being equipped with the appropriate policies and procedures to handle alleged breaches of permit/license compliance and/or laws.</w:t>
      </w:r>
    </w:p>
    <w:p w14:paraId="5B744829" w14:textId="57B882B5" w:rsidR="00947ED2" w:rsidRPr="00353BC0" w:rsidRDefault="00947ED2" w:rsidP="00D35B01">
      <w:pPr>
        <w:pStyle w:val="ListParagraph"/>
        <w:numPr>
          <w:ilvl w:val="2"/>
          <w:numId w:val="8"/>
        </w:numPr>
        <w:ind w:left="1400" w:hanging="680"/>
        <w:rPr>
          <w:rFonts w:cs="Arial"/>
        </w:rPr>
      </w:pPr>
      <w:r w:rsidRPr="00F47E6D">
        <w:rPr>
          <w:rFonts w:cs="Arial"/>
        </w:rPr>
        <w:t>Based on the outcome of the review outlined in</w:t>
      </w:r>
      <w:r>
        <w:rPr>
          <w:rFonts w:cs="Arial"/>
        </w:rPr>
        <w:t xml:space="preserve"> Recommendation</w:t>
      </w:r>
      <w:r w:rsidRPr="00F47E6D">
        <w:rPr>
          <w:rFonts w:cs="Arial"/>
        </w:rPr>
        <w:t xml:space="preserve"> 5.2.1, state governments should consider whether or not the </w:t>
      </w:r>
      <w:r>
        <w:rPr>
          <w:rFonts w:cs="Arial"/>
        </w:rPr>
        <w:t xml:space="preserve">current </w:t>
      </w:r>
      <w:r w:rsidRPr="00F47E6D">
        <w:rPr>
          <w:rFonts w:cs="Arial"/>
        </w:rPr>
        <w:t>arrangements are appropriate</w:t>
      </w:r>
      <w:r>
        <w:rPr>
          <w:rFonts w:cs="Arial"/>
        </w:rPr>
        <w:t>, effective</w:t>
      </w:r>
      <w:r w:rsidRPr="00F47E6D">
        <w:rPr>
          <w:rFonts w:cs="Arial"/>
        </w:rPr>
        <w:t xml:space="preserve"> and consistent with best practices for </w:t>
      </w:r>
      <w:r>
        <w:rPr>
          <w:rFonts w:cs="Arial"/>
        </w:rPr>
        <w:t xml:space="preserve">the </w:t>
      </w:r>
      <w:r w:rsidRPr="00F47E6D">
        <w:rPr>
          <w:rFonts w:cs="Arial"/>
        </w:rPr>
        <w:t>independent development</w:t>
      </w:r>
      <w:r>
        <w:rPr>
          <w:rFonts w:cs="Arial"/>
        </w:rPr>
        <w:t xml:space="preserve">, maintenance, compliance management </w:t>
      </w:r>
      <w:r w:rsidRPr="00F47E6D">
        <w:rPr>
          <w:rFonts w:cs="Arial"/>
        </w:rPr>
        <w:t>and governance of wind farm environmental standards</w:t>
      </w:r>
      <w:r w:rsidRPr="00353BC0">
        <w:rPr>
          <w:rFonts w:cs="Arial"/>
        </w:rPr>
        <w:t>.</w:t>
      </w:r>
      <w:r w:rsidR="003C34D6" w:rsidRPr="00353BC0">
        <w:rPr>
          <w:rFonts w:cs="Arial"/>
        </w:rPr>
        <w:t xml:space="preserve"> If </w:t>
      </w:r>
      <w:r w:rsidR="00353BC0">
        <w:rPr>
          <w:rFonts w:cs="Arial"/>
        </w:rPr>
        <w:t xml:space="preserve">planning functions or </w:t>
      </w:r>
      <w:r w:rsidR="003C34D6" w:rsidRPr="00353BC0">
        <w:rPr>
          <w:rFonts w:cs="Arial"/>
        </w:rPr>
        <w:t xml:space="preserve">local councils are designated as the responsible authority, </w:t>
      </w:r>
      <w:r w:rsidR="00417BC5" w:rsidRPr="00353BC0">
        <w:rPr>
          <w:rFonts w:cs="Arial"/>
        </w:rPr>
        <w:t>they should be provided with appropriate support and resources</w:t>
      </w:r>
      <w:r w:rsidR="00353BC0" w:rsidRPr="00353BC0">
        <w:rPr>
          <w:rFonts w:cs="Arial"/>
        </w:rPr>
        <w:t xml:space="preserve"> to assist them in carrying out the responsibilities</w:t>
      </w:r>
      <w:r w:rsidR="00417BC5" w:rsidRPr="00353BC0">
        <w:rPr>
          <w:rFonts w:cs="Arial"/>
        </w:rPr>
        <w:t>.</w:t>
      </w:r>
    </w:p>
    <w:p w14:paraId="170132A6" w14:textId="77777777" w:rsidR="00947ED2" w:rsidRPr="00F47E6D" w:rsidRDefault="00947ED2" w:rsidP="00D35B01">
      <w:pPr>
        <w:pStyle w:val="ListParagraph"/>
        <w:numPr>
          <w:ilvl w:val="2"/>
          <w:numId w:val="8"/>
        </w:numPr>
        <w:ind w:left="1400" w:hanging="680"/>
        <w:rPr>
          <w:rFonts w:cs="Arial"/>
        </w:rPr>
      </w:pPr>
      <w:r w:rsidRPr="00F47E6D">
        <w:rPr>
          <w:rFonts w:cs="Arial"/>
        </w:rPr>
        <w:t xml:space="preserve">In considering the above recommendations and </w:t>
      </w:r>
      <w:r>
        <w:rPr>
          <w:rFonts w:cs="Arial"/>
        </w:rPr>
        <w:t>possible reforms</w:t>
      </w:r>
      <w:r w:rsidRPr="00F47E6D">
        <w:rPr>
          <w:rFonts w:cs="Arial"/>
        </w:rPr>
        <w:t xml:space="preserve">, the potential roles of an </w:t>
      </w:r>
      <w:r>
        <w:rPr>
          <w:rFonts w:cs="Arial"/>
        </w:rPr>
        <w:t xml:space="preserve">appropriate </w:t>
      </w:r>
      <w:r w:rsidRPr="00F47E6D">
        <w:rPr>
          <w:rFonts w:cs="Arial"/>
        </w:rPr>
        <w:t>independent</w:t>
      </w:r>
      <w:r>
        <w:rPr>
          <w:rFonts w:cs="Arial"/>
        </w:rPr>
        <w:t>, state based,</w:t>
      </w:r>
      <w:r w:rsidRPr="00F47E6D">
        <w:rPr>
          <w:rFonts w:cs="Arial"/>
        </w:rPr>
        <w:t xml:space="preserve"> </w:t>
      </w:r>
      <w:r>
        <w:rPr>
          <w:rFonts w:cs="Arial"/>
        </w:rPr>
        <w:t xml:space="preserve">compliance </w:t>
      </w:r>
      <w:r w:rsidRPr="00F47E6D">
        <w:rPr>
          <w:rFonts w:cs="Arial"/>
        </w:rPr>
        <w:t xml:space="preserve">agency (such as a state environmental protection </w:t>
      </w:r>
      <w:r>
        <w:rPr>
          <w:rFonts w:cs="Arial"/>
        </w:rPr>
        <w:t xml:space="preserve">or regulatory </w:t>
      </w:r>
      <w:r w:rsidRPr="00F47E6D">
        <w:rPr>
          <w:rFonts w:cs="Arial"/>
        </w:rPr>
        <w:t xml:space="preserve">authority) could include responsibility to: </w:t>
      </w:r>
    </w:p>
    <w:p w14:paraId="2400D768" w14:textId="3C3175E4" w:rsidR="00947ED2" w:rsidRPr="00F47E6D" w:rsidRDefault="00947ED2" w:rsidP="00D35B01">
      <w:pPr>
        <w:pStyle w:val="ListParagraph"/>
        <w:numPr>
          <w:ilvl w:val="0"/>
          <w:numId w:val="13"/>
        </w:numPr>
        <w:rPr>
          <w:rFonts w:cs="Arial"/>
        </w:rPr>
      </w:pPr>
      <w:r w:rsidRPr="00F47E6D">
        <w:rPr>
          <w:rFonts w:cs="Arial"/>
        </w:rPr>
        <w:t>Set and maintain the environmental standards applied to wind farms, including noise, shadow flicker, visual amenity</w:t>
      </w:r>
      <w:r w:rsidR="003C34D6">
        <w:rPr>
          <w:rFonts w:cs="Arial"/>
        </w:rPr>
        <w:t xml:space="preserve">, environment and heritage </w:t>
      </w:r>
      <w:r w:rsidRPr="00F47E6D">
        <w:rPr>
          <w:rFonts w:cs="Arial"/>
        </w:rPr>
        <w:t xml:space="preserve">(noting the role of the Commonwealth </w:t>
      </w:r>
      <w:r w:rsidRPr="00F47E6D">
        <w:rPr>
          <w:rFonts w:cs="Arial"/>
          <w:i/>
        </w:rPr>
        <w:t xml:space="preserve">Environment Protection and Biodiversity Conservation Act 1999 </w:t>
      </w:r>
      <w:r w:rsidRPr="00F47E6D">
        <w:rPr>
          <w:rFonts w:cs="Arial"/>
        </w:rPr>
        <w:t xml:space="preserve">with regard to Matters of National Environmental Significance including protected flora </w:t>
      </w:r>
      <w:r w:rsidR="003C34D6">
        <w:rPr>
          <w:rFonts w:cs="Arial"/>
        </w:rPr>
        <w:t>and</w:t>
      </w:r>
      <w:r w:rsidR="003C34D6" w:rsidRPr="00F47E6D">
        <w:rPr>
          <w:rFonts w:cs="Arial"/>
        </w:rPr>
        <w:t xml:space="preserve"> </w:t>
      </w:r>
      <w:r w:rsidRPr="00F47E6D">
        <w:rPr>
          <w:rFonts w:cs="Arial"/>
        </w:rPr>
        <w:t>fauna), along with specifying the methods and procedures for measurement</w:t>
      </w:r>
      <w:r>
        <w:rPr>
          <w:rFonts w:cs="Arial"/>
        </w:rPr>
        <w:t xml:space="preserve"> of the prescribed standards.</w:t>
      </w:r>
    </w:p>
    <w:p w14:paraId="4F548719" w14:textId="43055007" w:rsidR="00947ED2" w:rsidRPr="00F47E6D" w:rsidRDefault="00947ED2" w:rsidP="00D35B01">
      <w:pPr>
        <w:pStyle w:val="ListParagraph"/>
        <w:numPr>
          <w:ilvl w:val="0"/>
          <w:numId w:val="13"/>
        </w:numPr>
        <w:rPr>
          <w:rFonts w:cs="Arial"/>
        </w:rPr>
      </w:pPr>
      <w:r w:rsidRPr="00F47E6D">
        <w:rPr>
          <w:rFonts w:cs="Arial"/>
        </w:rPr>
        <w:t>Review planning applications for wind energy projects and recommend/require permit conditions related to the environmental standards. Environmental standard conditions in wind farm permits should clearly state the process for how the measurements are to be undertaken</w:t>
      </w:r>
      <w:r w:rsidR="00C34858">
        <w:rPr>
          <w:rFonts w:cs="Arial"/>
        </w:rPr>
        <w:t xml:space="preserve"> and</w:t>
      </w:r>
      <w:r w:rsidRPr="00F47E6D">
        <w:rPr>
          <w:rFonts w:cs="Arial"/>
        </w:rPr>
        <w:t xml:space="preserve"> reported as well as provide the opportunity for peer review of the process, calculations and results. </w:t>
      </w:r>
    </w:p>
    <w:p w14:paraId="78CFAD82" w14:textId="77777777" w:rsidR="00947ED2" w:rsidRPr="00F47E6D" w:rsidRDefault="00947ED2" w:rsidP="00D35B01">
      <w:pPr>
        <w:pStyle w:val="ListParagraph"/>
        <w:numPr>
          <w:ilvl w:val="0"/>
          <w:numId w:val="13"/>
        </w:numPr>
        <w:rPr>
          <w:rFonts w:cs="Arial"/>
        </w:rPr>
      </w:pPr>
      <w:r w:rsidRPr="00F47E6D">
        <w:rPr>
          <w:rFonts w:cs="Arial"/>
        </w:rPr>
        <w:t>Provide or facilitate peer review and audit of expert reports, including review of testing and modelling programs, submitted by the developer related to permit requirements.</w:t>
      </w:r>
    </w:p>
    <w:p w14:paraId="524055DA" w14:textId="77777777" w:rsidR="00947ED2" w:rsidRPr="00F47E6D" w:rsidRDefault="00947ED2" w:rsidP="00D35B01">
      <w:pPr>
        <w:pStyle w:val="ListParagraph"/>
        <w:numPr>
          <w:ilvl w:val="0"/>
          <w:numId w:val="13"/>
        </w:numPr>
        <w:rPr>
          <w:rFonts w:cs="Arial"/>
        </w:rPr>
      </w:pPr>
      <w:r w:rsidRPr="00F47E6D">
        <w:rPr>
          <w:rFonts w:cs="Arial"/>
        </w:rPr>
        <w:t xml:space="preserve">Where appropriate, </w:t>
      </w:r>
      <w:r>
        <w:rPr>
          <w:rFonts w:cs="Arial"/>
        </w:rPr>
        <w:t xml:space="preserve">license the wind farm once it is constructed and </w:t>
      </w:r>
      <w:r w:rsidRPr="00F47E6D">
        <w:rPr>
          <w:rFonts w:cs="Arial"/>
        </w:rPr>
        <w:t xml:space="preserve">issue and monitor license conditions for the operation of the wind farm that may be subject to review and </w:t>
      </w:r>
      <w:r w:rsidRPr="00F47E6D">
        <w:rPr>
          <w:rFonts w:cs="Arial"/>
        </w:rPr>
        <w:lastRenderedPageBreak/>
        <w:t xml:space="preserve">renewal. </w:t>
      </w:r>
      <w:r>
        <w:rPr>
          <w:rFonts w:cs="Arial"/>
        </w:rPr>
        <w:t>State Governments should also r</w:t>
      </w:r>
      <w:r w:rsidRPr="00F47E6D">
        <w:rPr>
          <w:rFonts w:cs="Arial"/>
        </w:rPr>
        <w:t>eceive and review regular reporting against those licence conditions from the wind farm operator</w:t>
      </w:r>
      <w:r>
        <w:rPr>
          <w:rFonts w:cs="Arial"/>
        </w:rPr>
        <w:t xml:space="preserve"> and may withdraw licences in the event of unrectified material breaches of applicable license and permit conditions.</w:t>
      </w:r>
    </w:p>
    <w:p w14:paraId="092A6F54" w14:textId="77777777" w:rsidR="00947ED2" w:rsidRPr="00F47E6D" w:rsidRDefault="00947ED2" w:rsidP="00D35B01">
      <w:pPr>
        <w:pStyle w:val="ListParagraph"/>
        <w:numPr>
          <w:ilvl w:val="0"/>
          <w:numId w:val="13"/>
        </w:numPr>
        <w:rPr>
          <w:rFonts w:cs="Arial"/>
        </w:rPr>
      </w:pPr>
      <w:r w:rsidRPr="00F47E6D">
        <w:rPr>
          <w:rFonts w:cs="Arial"/>
        </w:rPr>
        <w:t>Receive and investigate complaints related to environmental standards, including alleged breaches of non-compliance.</w:t>
      </w:r>
    </w:p>
    <w:p w14:paraId="3BFDA8E8" w14:textId="77777777" w:rsidR="00947ED2" w:rsidRDefault="00947ED2" w:rsidP="00D35B01">
      <w:pPr>
        <w:pStyle w:val="ListParagraph"/>
        <w:numPr>
          <w:ilvl w:val="0"/>
          <w:numId w:val="13"/>
        </w:numPr>
        <w:rPr>
          <w:rFonts w:cs="Arial"/>
        </w:rPr>
      </w:pPr>
      <w:r w:rsidRPr="00F47E6D">
        <w:rPr>
          <w:rFonts w:cs="Arial"/>
        </w:rPr>
        <w:t xml:space="preserve">Confirm </w:t>
      </w:r>
      <w:r>
        <w:rPr>
          <w:rFonts w:cs="Arial"/>
        </w:rPr>
        <w:t xml:space="preserve">as required the </w:t>
      </w:r>
      <w:r w:rsidRPr="00F47E6D">
        <w:rPr>
          <w:rFonts w:cs="Arial"/>
        </w:rPr>
        <w:t>compliance or non-compliance of a wind farm with regard to environmental standards</w:t>
      </w:r>
      <w:r>
        <w:rPr>
          <w:rFonts w:cs="Arial"/>
        </w:rPr>
        <w:t xml:space="preserve">, </w:t>
      </w:r>
      <w:r w:rsidRPr="00F47E6D">
        <w:rPr>
          <w:rFonts w:cs="Arial"/>
        </w:rPr>
        <w:t>related permit conditions</w:t>
      </w:r>
      <w:r>
        <w:rPr>
          <w:rFonts w:cs="Arial"/>
        </w:rPr>
        <w:t xml:space="preserve"> and relevant laws</w:t>
      </w:r>
      <w:r w:rsidRPr="00F47E6D">
        <w:rPr>
          <w:rFonts w:cs="Arial"/>
        </w:rPr>
        <w:t>.</w:t>
      </w:r>
    </w:p>
    <w:p w14:paraId="0527370B" w14:textId="4619216D" w:rsidR="00417BC5" w:rsidRPr="00353BC0" w:rsidRDefault="00417BC5" w:rsidP="00D35B01">
      <w:pPr>
        <w:pStyle w:val="ListParagraph"/>
        <w:numPr>
          <w:ilvl w:val="0"/>
          <w:numId w:val="13"/>
        </w:numPr>
        <w:rPr>
          <w:rFonts w:cs="Arial"/>
        </w:rPr>
      </w:pPr>
      <w:r w:rsidRPr="00353BC0">
        <w:rPr>
          <w:rFonts w:cs="Arial"/>
        </w:rPr>
        <w:t>Report material wind farm compliance breaches and investigations to the Clean Energy Regulator and other relevant agencies.</w:t>
      </w:r>
    </w:p>
    <w:p w14:paraId="0D459963" w14:textId="77777777" w:rsidR="00947ED2" w:rsidRPr="00F47E6D" w:rsidRDefault="00947ED2" w:rsidP="00D35B01">
      <w:pPr>
        <w:pStyle w:val="ListParagraph"/>
        <w:numPr>
          <w:ilvl w:val="2"/>
          <w:numId w:val="8"/>
        </w:numPr>
        <w:rPr>
          <w:rFonts w:cs="Arial"/>
        </w:rPr>
      </w:pPr>
      <w:r w:rsidRPr="00F47E6D">
        <w:rPr>
          <w:rFonts w:cs="Arial"/>
        </w:rPr>
        <w:t xml:space="preserve">Planning permits </w:t>
      </w:r>
      <w:r>
        <w:rPr>
          <w:rFonts w:cs="Arial"/>
        </w:rPr>
        <w:t xml:space="preserve">(and/or applicable licenses) </w:t>
      </w:r>
      <w:r w:rsidRPr="00F47E6D">
        <w:rPr>
          <w:rFonts w:cs="Arial"/>
        </w:rPr>
        <w:t>for wind farms should clearly state:</w:t>
      </w:r>
    </w:p>
    <w:p w14:paraId="421A1AEB" w14:textId="77777777" w:rsidR="00947ED2" w:rsidRPr="00F47E6D" w:rsidRDefault="00947ED2" w:rsidP="00D35B01">
      <w:pPr>
        <w:pStyle w:val="ListParagraph"/>
        <w:numPr>
          <w:ilvl w:val="0"/>
          <w:numId w:val="14"/>
        </w:numPr>
        <w:rPr>
          <w:rFonts w:cs="Arial"/>
        </w:rPr>
      </w:pPr>
      <w:r w:rsidRPr="00F47E6D">
        <w:rPr>
          <w:rFonts w:cs="Arial"/>
        </w:rPr>
        <w:t>The oversight organisation</w:t>
      </w:r>
      <w:r>
        <w:rPr>
          <w:rFonts w:cs="Arial"/>
        </w:rPr>
        <w:t>(s)</w:t>
      </w:r>
      <w:r w:rsidRPr="00F47E6D">
        <w:rPr>
          <w:rFonts w:cs="Arial"/>
        </w:rPr>
        <w:t xml:space="preserve"> or person</w:t>
      </w:r>
      <w:r>
        <w:rPr>
          <w:rFonts w:cs="Arial"/>
        </w:rPr>
        <w:t>(s)</w:t>
      </w:r>
      <w:r w:rsidRPr="00F47E6D">
        <w:rPr>
          <w:rFonts w:cs="Arial"/>
        </w:rPr>
        <w:t xml:space="preserve"> accountable for determining compliance of a wind farm with its permit </w:t>
      </w:r>
      <w:r>
        <w:rPr>
          <w:rFonts w:cs="Arial"/>
        </w:rPr>
        <w:t xml:space="preserve">(and license) </w:t>
      </w:r>
      <w:r w:rsidRPr="00F47E6D">
        <w:rPr>
          <w:rFonts w:cs="Arial"/>
        </w:rPr>
        <w:t>conditions</w:t>
      </w:r>
      <w:r>
        <w:rPr>
          <w:rFonts w:cs="Arial"/>
        </w:rPr>
        <w:t>, both at post-construction and ongoing operational stages</w:t>
      </w:r>
      <w:r w:rsidRPr="00F47E6D">
        <w:rPr>
          <w:rFonts w:cs="Arial"/>
        </w:rPr>
        <w:t>.</w:t>
      </w:r>
    </w:p>
    <w:p w14:paraId="7E878CCC" w14:textId="77777777" w:rsidR="00947ED2" w:rsidRPr="00F47E6D" w:rsidRDefault="00947ED2" w:rsidP="00D35B01">
      <w:pPr>
        <w:pStyle w:val="ListParagraph"/>
        <w:numPr>
          <w:ilvl w:val="0"/>
          <w:numId w:val="14"/>
        </w:numPr>
        <w:rPr>
          <w:rFonts w:cs="Arial"/>
        </w:rPr>
      </w:pPr>
      <w:r w:rsidRPr="00F47E6D">
        <w:rPr>
          <w:rFonts w:cs="Arial"/>
        </w:rPr>
        <w:t xml:space="preserve">The process and contact details for lodging a complaint or alleged breach </w:t>
      </w:r>
      <w:r>
        <w:rPr>
          <w:rFonts w:cs="Arial"/>
        </w:rPr>
        <w:t xml:space="preserve">of </w:t>
      </w:r>
      <w:r w:rsidRPr="00F47E6D">
        <w:rPr>
          <w:rFonts w:cs="Arial"/>
        </w:rPr>
        <w:t>permit</w:t>
      </w:r>
      <w:r>
        <w:rPr>
          <w:rFonts w:cs="Arial"/>
        </w:rPr>
        <w:t xml:space="preserve"> (and/or license)</w:t>
      </w:r>
      <w:r w:rsidRPr="00F47E6D">
        <w:rPr>
          <w:rFonts w:cs="Arial"/>
        </w:rPr>
        <w:t xml:space="preserve"> compliance.</w:t>
      </w:r>
    </w:p>
    <w:p w14:paraId="31316FBD" w14:textId="77777777" w:rsidR="00947ED2" w:rsidRPr="00F47E6D" w:rsidRDefault="00947ED2" w:rsidP="00D35B01">
      <w:pPr>
        <w:pStyle w:val="ListParagraph"/>
        <w:numPr>
          <w:ilvl w:val="0"/>
          <w:numId w:val="14"/>
        </w:numPr>
        <w:rPr>
          <w:rFonts w:cs="Arial"/>
        </w:rPr>
      </w:pPr>
      <w:r w:rsidRPr="00F47E6D">
        <w:rPr>
          <w:rFonts w:cs="Arial"/>
        </w:rPr>
        <w:t xml:space="preserve">The process to be followed in the event that a wind farm is found to be non-compliant with one or more of the permit </w:t>
      </w:r>
      <w:r>
        <w:rPr>
          <w:rFonts w:cs="Arial"/>
        </w:rPr>
        <w:t xml:space="preserve">(and/or license) </w:t>
      </w:r>
      <w:r w:rsidRPr="00F47E6D">
        <w:rPr>
          <w:rFonts w:cs="Arial"/>
        </w:rPr>
        <w:t>conditions.</w:t>
      </w:r>
    </w:p>
    <w:p w14:paraId="5098626D" w14:textId="4BDFFB0B" w:rsidR="00947ED2" w:rsidRPr="00F47E6D" w:rsidRDefault="00947ED2" w:rsidP="00D35B01">
      <w:pPr>
        <w:pStyle w:val="ListParagraph"/>
        <w:numPr>
          <w:ilvl w:val="0"/>
          <w:numId w:val="14"/>
        </w:numPr>
        <w:rPr>
          <w:rFonts w:cs="Arial"/>
        </w:rPr>
      </w:pPr>
      <w:r w:rsidRPr="00F47E6D">
        <w:rPr>
          <w:rFonts w:cs="Arial"/>
        </w:rPr>
        <w:t>A requirement for the developer or operator to publish transparently, on the wind farm’s website</w:t>
      </w:r>
      <w:r>
        <w:rPr>
          <w:rFonts w:cs="Arial"/>
        </w:rPr>
        <w:t>,</w:t>
      </w:r>
      <w:r w:rsidRPr="00F47E6D">
        <w:rPr>
          <w:rFonts w:cs="Arial"/>
        </w:rPr>
        <w:t xml:space="preserve"> the process and contact details </w:t>
      </w:r>
      <w:r w:rsidR="00353BC0">
        <w:rPr>
          <w:rFonts w:cs="Arial"/>
        </w:rPr>
        <w:t xml:space="preserve">to make </w:t>
      </w:r>
      <w:r w:rsidRPr="00F47E6D">
        <w:rPr>
          <w:rFonts w:cs="Arial"/>
        </w:rPr>
        <w:t xml:space="preserve">a complaint or alleged compliance breach to the designated </w:t>
      </w:r>
      <w:r>
        <w:rPr>
          <w:rFonts w:cs="Arial"/>
        </w:rPr>
        <w:t xml:space="preserve">oversight </w:t>
      </w:r>
      <w:r w:rsidRPr="00F47E6D">
        <w:rPr>
          <w:rFonts w:cs="Arial"/>
        </w:rPr>
        <w:t>organisation.</w:t>
      </w:r>
    </w:p>
    <w:p w14:paraId="0104D55B" w14:textId="6AAEA10C" w:rsidR="00947ED2" w:rsidRPr="00F47E6D" w:rsidRDefault="00947ED2" w:rsidP="00D35B01">
      <w:pPr>
        <w:pStyle w:val="ListParagraph"/>
        <w:numPr>
          <w:ilvl w:val="2"/>
          <w:numId w:val="8"/>
        </w:numPr>
        <w:ind w:left="1400" w:hanging="680"/>
        <w:rPr>
          <w:rFonts w:cs="Arial"/>
        </w:rPr>
      </w:pPr>
      <w:r w:rsidRPr="00F47E6D">
        <w:rPr>
          <w:rFonts w:cs="Arial"/>
        </w:rPr>
        <w:t xml:space="preserve">During the period between </w:t>
      </w:r>
      <w:r>
        <w:rPr>
          <w:rFonts w:cs="Arial"/>
        </w:rPr>
        <w:t xml:space="preserve">the </w:t>
      </w:r>
      <w:r w:rsidRPr="00F47E6D">
        <w:rPr>
          <w:rFonts w:cs="Arial"/>
        </w:rPr>
        <w:t xml:space="preserve">commencement of a wind farm’s </w:t>
      </w:r>
      <w:r>
        <w:rPr>
          <w:rFonts w:cs="Arial"/>
        </w:rPr>
        <w:t>commissioning/</w:t>
      </w:r>
      <w:r w:rsidRPr="00F47E6D">
        <w:rPr>
          <w:rFonts w:cs="Arial"/>
        </w:rPr>
        <w:t xml:space="preserve">operation and the completion of any required post-construction assessments, the wind farm </w:t>
      </w:r>
      <w:r>
        <w:rPr>
          <w:rFonts w:cs="Arial"/>
        </w:rPr>
        <w:t xml:space="preserve">could </w:t>
      </w:r>
      <w:r w:rsidRPr="00F47E6D">
        <w:rPr>
          <w:rFonts w:cs="Arial"/>
        </w:rPr>
        <w:t xml:space="preserve">be designated to be in ‘provisional compliance’, pending the results of the assessments. </w:t>
      </w:r>
      <w:r>
        <w:rPr>
          <w:rFonts w:cs="Arial"/>
        </w:rPr>
        <w:t>In that scenario, a</w:t>
      </w:r>
      <w:r w:rsidRPr="00F47E6D">
        <w:rPr>
          <w:rFonts w:cs="Arial"/>
        </w:rPr>
        <w:t xml:space="preserve"> wind farm can only move from ‘provisional compliance’ to being ‘compliant’ once the responsible authority </w:t>
      </w:r>
      <w:r>
        <w:rPr>
          <w:rFonts w:cs="Arial"/>
        </w:rPr>
        <w:t xml:space="preserve">(or regulatory authority) </w:t>
      </w:r>
      <w:r w:rsidRPr="00F47E6D">
        <w:rPr>
          <w:rFonts w:cs="Arial"/>
        </w:rPr>
        <w:t>has confirmed it is satisfied that the wind farm is compliant</w:t>
      </w:r>
      <w:r>
        <w:rPr>
          <w:rFonts w:cs="Arial"/>
        </w:rPr>
        <w:t xml:space="preserve"> as a result of any post-construction assessments</w:t>
      </w:r>
      <w:r w:rsidRPr="00F47E6D">
        <w:rPr>
          <w:rFonts w:cs="Arial"/>
        </w:rPr>
        <w:t>. If compliant status is not achieved within a prescribed period, the wind farm may be declared to be non-compliant by the responsible authority</w:t>
      </w:r>
      <w:r>
        <w:rPr>
          <w:rFonts w:cs="Arial"/>
        </w:rPr>
        <w:t xml:space="preserve"> or regulator until compliance is reached</w:t>
      </w:r>
      <w:r w:rsidRPr="00F47E6D">
        <w:rPr>
          <w:rFonts w:cs="Arial"/>
        </w:rPr>
        <w:t>.</w:t>
      </w:r>
      <w:r>
        <w:rPr>
          <w:rFonts w:cs="Arial"/>
        </w:rPr>
        <w:t xml:space="preserve"> Once a wind farm has completed post-construction assessments and confirmed to be in compliance, ongoing compliance is overseen by the designated agency or </w:t>
      </w:r>
      <w:r w:rsidR="00353BC0">
        <w:rPr>
          <w:rFonts w:cs="Arial"/>
        </w:rPr>
        <w:t xml:space="preserve">responsible </w:t>
      </w:r>
      <w:r>
        <w:rPr>
          <w:rFonts w:cs="Arial"/>
        </w:rPr>
        <w:t xml:space="preserve">authority.   </w:t>
      </w:r>
    </w:p>
    <w:p w14:paraId="3179AACC" w14:textId="407B010E" w:rsidR="00947ED2" w:rsidRPr="00F47E6D" w:rsidRDefault="00947ED2" w:rsidP="00D35B01">
      <w:pPr>
        <w:pStyle w:val="ListParagraph"/>
        <w:numPr>
          <w:ilvl w:val="2"/>
          <w:numId w:val="8"/>
        </w:numPr>
        <w:ind w:left="1400" w:hanging="680"/>
        <w:rPr>
          <w:rFonts w:cs="Arial"/>
        </w:rPr>
      </w:pPr>
      <w:r>
        <w:rPr>
          <w:rFonts w:cs="Arial"/>
        </w:rPr>
        <w:t>If a wind farm’s facilities are deemed</w:t>
      </w:r>
      <w:r w:rsidR="00741B96">
        <w:rPr>
          <w:rFonts w:cs="Arial"/>
        </w:rPr>
        <w:t xml:space="preserve"> by a relevant authority</w:t>
      </w:r>
      <w:r>
        <w:rPr>
          <w:rFonts w:cs="Arial"/>
        </w:rPr>
        <w:t xml:space="preserve"> to be in an un</w:t>
      </w:r>
      <w:r w:rsidR="00741B96">
        <w:rPr>
          <w:rFonts w:cs="Arial"/>
        </w:rPr>
        <w:t>-</w:t>
      </w:r>
      <w:r>
        <w:rPr>
          <w:rFonts w:cs="Arial"/>
        </w:rPr>
        <w:t xml:space="preserve">rectified material breach of compliance, such </w:t>
      </w:r>
      <w:r w:rsidRPr="00F47E6D">
        <w:rPr>
          <w:rFonts w:cs="Arial"/>
        </w:rPr>
        <w:t xml:space="preserve">facilities of </w:t>
      </w:r>
      <w:r>
        <w:rPr>
          <w:rFonts w:cs="Arial"/>
        </w:rPr>
        <w:t>the</w:t>
      </w:r>
      <w:r w:rsidRPr="00F47E6D">
        <w:rPr>
          <w:rFonts w:cs="Arial"/>
        </w:rPr>
        <w:t xml:space="preserve"> wind farm should be subject to a </w:t>
      </w:r>
      <w:r>
        <w:rPr>
          <w:rFonts w:cs="Arial"/>
        </w:rPr>
        <w:t xml:space="preserve">possible </w:t>
      </w:r>
      <w:r w:rsidRPr="00F47E6D">
        <w:rPr>
          <w:rFonts w:cs="Arial"/>
        </w:rPr>
        <w:t>suspension</w:t>
      </w:r>
      <w:r w:rsidR="00741B96">
        <w:rPr>
          <w:rFonts w:cs="Arial"/>
        </w:rPr>
        <w:t xml:space="preserve"> of accreditation and/or the </w:t>
      </w:r>
      <w:r>
        <w:rPr>
          <w:rFonts w:cs="Arial"/>
        </w:rPr>
        <w:t>withholding or cancellation</w:t>
      </w:r>
      <w:r w:rsidRPr="00F47E6D">
        <w:rPr>
          <w:rFonts w:cs="Arial"/>
        </w:rPr>
        <w:t xml:space="preserve"> of renewable energy certificates </w:t>
      </w:r>
      <w:r>
        <w:rPr>
          <w:rFonts w:cs="Arial"/>
        </w:rPr>
        <w:t>(</w:t>
      </w:r>
      <w:r w:rsidR="00955781">
        <w:rPr>
          <w:rFonts w:cs="Arial"/>
        </w:rPr>
        <w:t>‘</w:t>
      </w:r>
      <w:r>
        <w:rPr>
          <w:rFonts w:cs="Arial"/>
        </w:rPr>
        <w:t>LGCs</w:t>
      </w:r>
      <w:r w:rsidR="00955781">
        <w:rPr>
          <w:rFonts w:cs="Arial"/>
        </w:rPr>
        <w:t>’</w:t>
      </w:r>
      <w:r>
        <w:rPr>
          <w:rFonts w:cs="Arial"/>
        </w:rPr>
        <w:t xml:space="preserve">, </w:t>
      </w:r>
      <w:r w:rsidR="00741B96">
        <w:rPr>
          <w:rFonts w:cs="Arial"/>
        </w:rPr>
        <w:t xml:space="preserve">as </w:t>
      </w:r>
      <w:r>
        <w:rPr>
          <w:rFonts w:cs="Arial"/>
        </w:rPr>
        <w:t xml:space="preserve">issued by the </w:t>
      </w:r>
      <w:r w:rsidR="00EC32B1">
        <w:rPr>
          <w:rFonts w:cs="Arial"/>
        </w:rPr>
        <w:t>Australian</w:t>
      </w:r>
      <w:r>
        <w:rPr>
          <w:rFonts w:cs="Arial"/>
        </w:rPr>
        <w:t xml:space="preserve"> </w:t>
      </w:r>
      <w:r w:rsidR="00944D3D">
        <w:rPr>
          <w:rFonts w:cs="Arial"/>
        </w:rPr>
        <w:t>Government</w:t>
      </w:r>
      <w:r>
        <w:rPr>
          <w:rFonts w:cs="Arial"/>
        </w:rPr>
        <w:t xml:space="preserve">) </w:t>
      </w:r>
      <w:r w:rsidRPr="00F47E6D">
        <w:rPr>
          <w:rFonts w:cs="Arial"/>
        </w:rPr>
        <w:t xml:space="preserve">for </w:t>
      </w:r>
      <w:r w:rsidR="00741B96">
        <w:rPr>
          <w:rFonts w:cs="Arial"/>
        </w:rPr>
        <w:t xml:space="preserve">the </w:t>
      </w:r>
      <w:r w:rsidRPr="00F47E6D">
        <w:rPr>
          <w:rFonts w:cs="Arial"/>
        </w:rPr>
        <w:t xml:space="preserve">energy generated by those facilities during the period of </w:t>
      </w:r>
      <w:r>
        <w:rPr>
          <w:rFonts w:cs="Arial"/>
        </w:rPr>
        <w:t xml:space="preserve">confirmed </w:t>
      </w:r>
      <w:r w:rsidR="00741B96">
        <w:rPr>
          <w:rFonts w:cs="Arial"/>
        </w:rPr>
        <w:t xml:space="preserve">and unrectified </w:t>
      </w:r>
      <w:r w:rsidRPr="00F47E6D">
        <w:rPr>
          <w:rFonts w:cs="Arial"/>
        </w:rPr>
        <w:t>non-compliance</w:t>
      </w:r>
      <w:r>
        <w:rPr>
          <w:rFonts w:cs="Arial"/>
        </w:rPr>
        <w:t>. The wind farm could</w:t>
      </w:r>
      <w:r w:rsidRPr="00F47E6D">
        <w:rPr>
          <w:rFonts w:cs="Arial"/>
        </w:rPr>
        <w:t xml:space="preserve"> also be required by the responsible </w:t>
      </w:r>
      <w:r>
        <w:rPr>
          <w:rFonts w:cs="Arial"/>
        </w:rPr>
        <w:t xml:space="preserve">compliance </w:t>
      </w:r>
      <w:r w:rsidRPr="00F47E6D">
        <w:rPr>
          <w:rFonts w:cs="Arial"/>
        </w:rPr>
        <w:t xml:space="preserve">authority to cease operating </w:t>
      </w:r>
      <w:r w:rsidR="00417BC5">
        <w:rPr>
          <w:rFonts w:cs="Arial"/>
        </w:rPr>
        <w:t xml:space="preserve">or curtail </w:t>
      </w:r>
      <w:r>
        <w:rPr>
          <w:rFonts w:cs="Arial"/>
        </w:rPr>
        <w:t xml:space="preserve">the non-compliant facilities </w:t>
      </w:r>
      <w:r w:rsidRPr="00F47E6D">
        <w:rPr>
          <w:rFonts w:cs="Arial"/>
        </w:rPr>
        <w:t>until compliance can be achieved.</w:t>
      </w:r>
    </w:p>
    <w:p w14:paraId="239A2A6E" w14:textId="5F15B93F" w:rsidR="00947ED2" w:rsidRPr="00F47E6D" w:rsidRDefault="00947ED2" w:rsidP="00D35B01">
      <w:pPr>
        <w:pStyle w:val="ListParagraph"/>
        <w:numPr>
          <w:ilvl w:val="2"/>
          <w:numId w:val="8"/>
        </w:numPr>
        <w:ind w:left="1400" w:hanging="680"/>
        <w:rPr>
          <w:rFonts w:cs="Arial"/>
        </w:rPr>
      </w:pPr>
      <w:r w:rsidRPr="00F47E6D">
        <w:rPr>
          <w:rFonts w:cs="Arial"/>
        </w:rPr>
        <w:t xml:space="preserve">Governments should consider </w:t>
      </w:r>
      <w:r>
        <w:rPr>
          <w:rFonts w:cs="Arial"/>
        </w:rPr>
        <w:t xml:space="preserve">reviewing the primary </w:t>
      </w:r>
      <w:r w:rsidRPr="00F47E6D">
        <w:rPr>
          <w:rFonts w:cs="Arial"/>
        </w:rPr>
        <w:t>standard</w:t>
      </w:r>
      <w:r>
        <w:rPr>
          <w:rFonts w:cs="Arial"/>
        </w:rPr>
        <w:t>s</w:t>
      </w:r>
      <w:r w:rsidRPr="00F47E6D">
        <w:rPr>
          <w:rFonts w:cs="Arial"/>
        </w:rPr>
        <w:t xml:space="preserve"> across all jurisdictions for noise limits and setback distances. Based on observations to date, it would appear that an appropriate level for a consistent noise limit would be 35 dB(A)</w:t>
      </w:r>
      <w:r w:rsidRPr="00F47E6D">
        <w:rPr>
          <w:rStyle w:val="FootnoteReference"/>
          <w:rFonts w:cs="Arial"/>
        </w:rPr>
        <w:footnoteReference w:customMarkFollows="1" w:id="7"/>
        <w:t>*</w:t>
      </w:r>
      <w:r w:rsidRPr="00F47E6D">
        <w:rPr>
          <w:rFonts w:cs="Arial"/>
        </w:rPr>
        <w:t>, measured outside of the residence</w:t>
      </w:r>
      <w:r w:rsidR="00F3190B">
        <w:rPr>
          <w:rFonts w:cs="Arial"/>
        </w:rPr>
        <w:t xml:space="preserve"> (with the result rounded up or down to the nearest whole number)</w:t>
      </w:r>
      <w:r w:rsidRPr="00F47E6D">
        <w:rPr>
          <w:rFonts w:cs="Arial"/>
        </w:rPr>
        <w:t xml:space="preserve">, and a minimum </w:t>
      </w:r>
      <w:r w:rsidRPr="00F47E6D">
        <w:rPr>
          <w:rFonts w:cs="Arial"/>
        </w:rPr>
        <w:lastRenderedPageBreak/>
        <w:t xml:space="preserve">setback distance of 1.5 km between a residence and the nearest turbine. Applied penalties for specific noise conditions such as tonality and special audible characteristics be set at </w:t>
      </w:r>
      <w:r>
        <w:rPr>
          <w:rFonts w:cs="Arial"/>
        </w:rPr>
        <w:t>5</w:t>
      </w:r>
      <w:r w:rsidR="00EB2B45">
        <w:rPr>
          <w:rFonts w:cs="Arial"/>
        </w:rPr>
        <w:t> </w:t>
      </w:r>
      <w:r w:rsidRPr="00F47E6D">
        <w:rPr>
          <w:rFonts w:cs="Arial"/>
        </w:rPr>
        <w:t xml:space="preserve">dB(A), however such noise </w:t>
      </w:r>
      <w:r>
        <w:rPr>
          <w:rFonts w:cs="Arial"/>
        </w:rPr>
        <w:t xml:space="preserve">events </w:t>
      </w:r>
      <w:r w:rsidRPr="00F47E6D">
        <w:rPr>
          <w:rFonts w:cs="Arial"/>
        </w:rPr>
        <w:t>should also be assessed on a subjective and reasonableness test by an approved, independent expert.</w:t>
      </w:r>
      <w:r>
        <w:rPr>
          <w:rFonts w:cs="Arial"/>
        </w:rPr>
        <w:t xml:space="preserve"> </w:t>
      </w:r>
      <w:r w:rsidR="00F3190B">
        <w:rPr>
          <w:rFonts w:cs="Arial"/>
        </w:rPr>
        <w:t>Protocols should be in place to clarify interpretati</w:t>
      </w:r>
      <w:r w:rsidR="00EB2B45">
        <w:rPr>
          <w:rFonts w:cs="Arial"/>
        </w:rPr>
        <w:t>on of borrowed noise standards.</w:t>
      </w:r>
      <w:r w:rsidR="00F3190B">
        <w:rPr>
          <w:rFonts w:cs="Arial"/>
        </w:rPr>
        <w:t xml:space="preserve"> </w:t>
      </w:r>
      <w:r w:rsidR="00D35EF7">
        <w:rPr>
          <w:rFonts w:cs="Arial"/>
        </w:rPr>
        <w:t>In addition to a set</w:t>
      </w:r>
      <w:r>
        <w:rPr>
          <w:rFonts w:cs="Arial"/>
        </w:rPr>
        <w:t xml:space="preserve">back distance between a turbine and a residence, a setback distance of </w:t>
      </w:r>
      <w:r w:rsidR="009C7E73" w:rsidRPr="009C7E73">
        <w:rPr>
          <w:rFonts w:cs="Arial"/>
        </w:rPr>
        <w:t>200</w:t>
      </w:r>
      <w:r w:rsidRPr="009C7E73">
        <w:rPr>
          <w:rFonts w:cs="Arial"/>
        </w:rPr>
        <w:t>m</w:t>
      </w:r>
      <w:r>
        <w:rPr>
          <w:rFonts w:cs="Arial"/>
        </w:rPr>
        <w:t xml:space="preserve"> between a wind turbine’s tower (or </w:t>
      </w:r>
      <w:r w:rsidRPr="009C7E73">
        <w:rPr>
          <w:rFonts w:cs="Arial"/>
        </w:rPr>
        <w:t>100m</w:t>
      </w:r>
      <w:r>
        <w:rPr>
          <w:rFonts w:cs="Arial"/>
        </w:rPr>
        <w:t xml:space="preserve"> from the extended horizontal blade tip, whichever is the greater) and a neighbour’s boundary should also be considered. Finally, consideration should be given to setback distances between a wind farm and a township</w:t>
      </w:r>
      <w:r w:rsidR="00417BC5">
        <w:rPr>
          <w:rFonts w:cs="Arial"/>
        </w:rPr>
        <w:t xml:space="preserve"> or </w:t>
      </w:r>
      <w:r w:rsidR="00EB2B45">
        <w:rPr>
          <w:rFonts w:cs="Arial"/>
        </w:rPr>
        <w:t>city boundary.</w:t>
      </w:r>
      <w:r>
        <w:rPr>
          <w:rFonts w:cs="Arial"/>
        </w:rPr>
        <w:t xml:space="preserve"> A distance of 5</w:t>
      </w:r>
      <w:r w:rsidR="00417BC5">
        <w:rPr>
          <w:rFonts w:cs="Arial"/>
        </w:rPr>
        <w:t xml:space="preserve"> </w:t>
      </w:r>
      <w:r>
        <w:rPr>
          <w:rFonts w:cs="Arial"/>
        </w:rPr>
        <w:t xml:space="preserve">km may be appropriate to preserve amenity and provide some flexibility for </w:t>
      </w:r>
      <w:r w:rsidR="00206F39">
        <w:rPr>
          <w:rFonts w:cs="Arial"/>
        </w:rPr>
        <w:t>planning growth of the township (n</w:t>
      </w:r>
      <w:r w:rsidR="00741B96">
        <w:rPr>
          <w:rFonts w:cs="Arial"/>
        </w:rPr>
        <w:t>ote – consid</w:t>
      </w:r>
      <w:r w:rsidR="00206F39">
        <w:rPr>
          <w:rFonts w:cs="Arial"/>
        </w:rPr>
        <w:t>eration of amending certain set</w:t>
      </w:r>
      <w:r w:rsidR="00741B96">
        <w:rPr>
          <w:rFonts w:cs="Arial"/>
        </w:rPr>
        <w:t>back provisions may be app</w:t>
      </w:r>
      <w:r w:rsidR="00206F39">
        <w:rPr>
          <w:rFonts w:cs="Arial"/>
        </w:rPr>
        <w:t>ropriate in the case of a small-scale, community-</w:t>
      </w:r>
      <w:r w:rsidR="00741B96">
        <w:rPr>
          <w:rFonts w:cs="Arial"/>
        </w:rPr>
        <w:t>supported and owned wind energy facility).</w:t>
      </w:r>
    </w:p>
    <w:p w14:paraId="6C5A8687" w14:textId="77777777" w:rsidR="00947ED2" w:rsidRDefault="00947ED2" w:rsidP="00D35B01">
      <w:pPr>
        <w:pStyle w:val="ListParagraph"/>
        <w:numPr>
          <w:ilvl w:val="2"/>
          <w:numId w:val="8"/>
        </w:numPr>
        <w:ind w:left="1400" w:hanging="680"/>
        <w:rPr>
          <w:rFonts w:cs="Arial"/>
        </w:rPr>
      </w:pPr>
      <w:r>
        <w:rPr>
          <w:rFonts w:cs="Arial"/>
        </w:rPr>
        <w:t>T</w:t>
      </w:r>
      <w:r w:rsidRPr="00F47E6D">
        <w:rPr>
          <w:rFonts w:cs="Arial"/>
        </w:rPr>
        <w:t xml:space="preserve">he noise assessment design and compliance testing conditions should include assessment and testing of the wind farm’s electrical infrastructure </w:t>
      </w:r>
      <w:r>
        <w:rPr>
          <w:rFonts w:cs="Arial"/>
        </w:rPr>
        <w:t xml:space="preserve">(transformers, substations, </w:t>
      </w:r>
      <w:r w:rsidRPr="00F47E6D">
        <w:rPr>
          <w:rFonts w:cs="Arial"/>
        </w:rPr>
        <w:t>back-up generators</w:t>
      </w:r>
      <w:r>
        <w:rPr>
          <w:rFonts w:cs="Arial"/>
        </w:rPr>
        <w:t xml:space="preserve"> etc.)</w:t>
      </w:r>
      <w:r w:rsidRPr="00F47E6D">
        <w:rPr>
          <w:rFonts w:cs="Arial"/>
        </w:rPr>
        <w:t xml:space="preserve"> and noise levels from these sources need to be compliant with the applicable standards.</w:t>
      </w:r>
      <w:r>
        <w:rPr>
          <w:rFonts w:cs="Arial"/>
        </w:rPr>
        <w:t xml:space="preserve">  </w:t>
      </w:r>
    </w:p>
    <w:p w14:paraId="67E7D2F4" w14:textId="5B60A05A" w:rsidR="00947ED2" w:rsidRPr="00842B5C" w:rsidRDefault="00947ED2" w:rsidP="00842B5C">
      <w:pPr>
        <w:pStyle w:val="ListParagraph"/>
        <w:numPr>
          <w:ilvl w:val="2"/>
          <w:numId w:val="8"/>
        </w:numPr>
        <w:ind w:left="1400" w:hanging="680"/>
        <w:rPr>
          <w:rFonts w:eastAsiaTheme="minorHAnsi" w:cs="Arial"/>
        </w:rPr>
      </w:pPr>
      <w:r w:rsidRPr="00842B5C">
        <w:rPr>
          <w:rFonts w:cs="Arial"/>
        </w:rPr>
        <w:t>A setback distance between a residence and infrastructure</w:t>
      </w:r>
      <w:r w:rsidR="00842B5C" w:rsidRPr="00842B5C">
        <w:rPr>
          <w:rFonts w:cs="Arial"/>
        </w:rPr>
        <w:t xml:space="preserve"> associated with the wind farm</w:t>
      </w:r>
      <w:r w:rsidRPr="00842B5C">
        <w:rPr>
          <w:rFonts w:cs="Arial"/>
        </w:rPr>
        <w:t xml:space="preserve">, such as transmission lines, should also be considered to help alleviate visual amenity impacts and noise considerations. </w:t>
      </w:r>
      <w:r w:rsidR="00842B5C">
        <w:rPr>
          <w:rFonts w:cs="Arial"/>
        </w:rPr>
        <w:t xml:space="preserve">This includes a </w:t>
      </w:r>
      <w:r w:rsidR="00842B5C" w:rsidRPr="00842B5C">
        <w:rPr>
          <w:rFonts w:eastAsiaTheme="minorHAnsi" w:cs="Arial"/>
          <w:color w:val="000000"/>
        </w:rPr>
        <w:t>1</w:t>
      </w:r>
      <w:r w:rsidR="008A7309">
        <w:rPr>
          <w:rFonts w:eastAsiaTheme="minorHAnsi" w:cs="Arial"/>
          <w:color w:val="000000"/>
        </w:rPr>
        <w:t>.0</w:t>
      </w:r>
      <w:r w:rsidR="00842B5C" w:rsidRPr="00842B5C">
        <w:rPr>
          <w:rFonts w:eastAsiaTheme="minorHAnsi" w:cs="Arial"/>
          <w:color w:val="000000"/>
        </w:rPr>
        <w:t xml:space="preserve"> km minimum setback distance </w:t>
      </w:r>
      <w:r w:rsidR="00842B5C">
        <w:rPr>
          <w:rFonts w:eastAsiaTheme="minorHAnsi" w:cs="Arial"/>
          <w:color w:val="000000"/>
        </w:rPr>
        <w:t>between a residence and</w:t>
      </w:r>
      <w:r w:rsidR="00842B5C" w:rsidRPr="00842B5C">
        <w:rPr>
          <w:rFonts w:eastAsiaTheme="minorHAnsi" w:cs="Arial"/>
          <w:color w:val="000000"/>
        </w:rPr>
        <w:t xml:space="preserve"> major transformer</w:t>
      </w:r>
      <w:r w:rsidR="00842B5C">
        <w:rPr>
          <w:rFonts w:eastAsiaTheme="minorHAnsi" w:cs="Arial"/>
          <w:color w:val="000000"/>
        </w:rPr>
        <w:t xml:space="preserve"> and generation infrastructure, </w:t>
      </w:r>
      <w:r w:rsidR="00842B5C" w:rsidRPr="00842B5C">
        <w:rPr>
          <w:rFonts w:eastAsiaTheme="minorHAnsi" w:cs="Arial"/>
          <w:color w:val="000000"/>
        </w:rPr>
        <w:t>such as a termi</w:t>
      </w:r>
      <w:r w:rsidR="00842B5C">
        <w:rPr>
          <w:rFonts w:eastAsiaTheme="minorHAnsi" w:cs="Arial"/>
          <w:color w:val="000000"/>
        </w:rPr>
        <w:t xml:space="preserve">nal substation. </w:t>
      </w:r>
      <w:r w:rsidRPr="00842B5C">
        <w:rPr>
          <w:rFonts w:cs="Arial"/>
        </w:rPr>
        <w:t>Where possible, transmission infrastructure should be placed underground</w:t>
      </w:r>
      <w:r w:rsidR="008A7309">
        <w:rPr>
          <w:rFonts w:cs="Arial"/>
        </w:rPr>
        <w:t xml:space="preserve"> and/or well away from residences and road reserves.</w:t>
      </w:r>
      <w:r w:rsidRPr="00842B5C">
        <w:rPr>
          <w:rFonts w:cs="Arial"/>
        </w:rPr>
        <w:t xml:space="preserve"> If this is not possible, a setback distance of 100m should be considered in planning guidelines</w:t>
      </w:r>
      <w:r w:rsidR="00F3190B" w:rsidRPr="00842B5C">
        <w:rPr>
          <w:rFonts w:cs="Arial"/>
        </w:rPr>
        <w:t xml:space="preserve"> for power lines of 66kV or greater</w:t>
      </w:r>
      <w:r w:rsidRPr="00842B5C">
        <w:rPr>
          <w:rFonts w:cs="Arial"/>
        </w:rPr>
        <w:t>.</w:t>
      </w:r>
    </w:p>
    <w:p w14:paraId="4394BE12" w14:textId="680A1106" w:rsidR="00947ED2" w:rsidRDefault="00947ED2" w:rsidP="00D35B01">
      <w:pPr>
        <w:pStyle w:val="ListParagraph"/>
        <w:numPr>
          <w:ilvl w:val="2"/>
          <w:numId w:val="8"/>
        </w:numPr>
        <w:ind w:left="1400" w:hanging="680"/>
        <w:rPr>
          <w:rFonts w:cs="Arial"/>
        </w:rPr>
      </w:pPr>
      <w:r>
        <w:rPr>
          <w:rFonts w:cs="Arial"/>
        </w:rPr>
        <w:t>C</w:t>
      </w:r>
      <w:r w:rsidRPr="00F47E6D">
        <w:rPr>
          <w:rFonts w:cs="Arial"/>
        </w:rPr>
        <w:t>onsideration should also be given to the curren</w:t>
      </w:r>
      <w:r>
        <w:rPr>
          <w:rFonts w:cs="Arial"/>
        </w:rPr>
        <w:t>t standards for shadow flicker.</w:t>
      </w:r>
      <w:r w:rsidRPr="00F47E6D">
        <w:rPr>
          <w:rFonts w:cs="Arial"/>
        </w:rPr>
        <w:t xml:space="preserve"> A typical standard is no more than 30 hours of shadow flicker per year a</w:t>
      </w:r>
      <w:r>
        <w:rPr>
          <w:rFonts w:cs="Arial"/>
        </w:rPr>
        <w:t>t a resident’s external window.</w:t>
      </w:r>
      <w:r w:rsidR="007955E7">
        <w:rPr>
          <w:rFonts w:cs="Arial"/>
        </w:rPr>
        <w:t xml:space="preserve"> This standard</w:t>
      </w:r>
      <w:r w:rsidR="00A8135E">
        <w:rPr>
          <w:rFonts w:cs="Arial"/>
        </w:rPr>
        <w:t>, used across Australia, has</w:t>
      </w:r>
      <w:r w:rsidR="007955E7">
        <w:rPr>
          <w:rFonts w:cs="Arial"/>
        </w:rPr>
        <w:t xml:space="preserve"> been </w:t>
      </w:r>
      <w:r w:rsidR="00A8135E">
        <w:rPr>
          <w:rFonts w:cs="Arial"/>
        </w:rPr>
        <w:t xml:space="preserve">sourced </w:t>
      </w:r>
      <w:r w:rsidR="007955E7">
        <w:rPr>
          <w:rFonts w:cs="Arial"/>
        </w:rPr>
        <w:t xml:space="preserve">from shadow flicker </w:t>
      </w:r>
      <w:r w:rsidR="00A8135E">
        <w:rPr>
          <w:rFonts w:cs="Arial"/>
        </w:rPr>
        <w:t xml:space="preserve">standards developed and used </w:t>
      </w:r>
      <w:r w:rsidR="007955E7">
        <w:rPr>
          <w:rFonts w:cs="Arial"/>
        </w:rPr>
        <w:t>in Europe, where set</w:t>
      </w:r>
      <w:r w:rsidR="00A8135E">
        <w:rPr>
          <w:rFonts w:cs="Arial"/>
        </w:rPr>
        <w:t>-</w:t>
      </w:r>
      <w:r w:rsidR="007955E7">
        <w:rPr>
          <w:rFonts w:cs="Arial"/>
        </w:rPr>
        <w:t>back distances to residences are typically less restrictive.</w:t>
      </w:r>
      <w:r w:rsidR="00F3190B">
        <w:rPr>
          <w:rFonts w:cs="Arial"/>
        </w:rPr>
        <w:t xml:space="preserve"> At say a 1.0</w:t>
      </w:r>
      <w:r w:rsidR="00914661">
        <w:rPr>
          <w:rFonts w:cs="Arial"/>
        </w:rPr>
        <w:t xml:space="preserve"> </w:t>
      </w:r>
      <w:r w:rsidR="00F3190B">
        <w:rPr>
          <w:rFonts w:cs="Arial"/>
        </w:rPr>
        <w:t xml:space="preserve">km distance from a turbine, it would be very unlikely to receive </w:t>
      </w:r>
      <w:r w:rsidR="00A8135E">
        <w:rPr>
          <w:rFonts w:cs="Arial"/>
        </w:rPr>
        <w:t xml:space="preserve">30 hours of actual </w:t>
      </w:r>
      <w:r w:rsidR="00F3190B">
        <w:rPr>
          <w:rFonts w:cs="Arial"/>
        </w:rPr>
        <w:t>shadow flicker</w:t>
      </w:r>
      <w:r w:rsidR="00A8135E">
        <w:rPr>
          <w:rFonts w:cs="Arial"/>
        </w:rPr>
        <w:t xml:space="preserve"> at a residence</w:t>
      </w:r>
      <w:r w:rsidR="00F3190B">
        <w:rPr>
          <w:rFonts w:cs="Arial"/>
        </w:rPr>
        <w:t xml:space="preserve">. </w:t>
      </w:r>
      <w:r w:rsidR="00A8135E">
        <w:rPr>
          <w:rFonts w:cs="Arial"/>
        </w:rPr>
        <w:t xml:space="preserve"> </w:t>
      </w:r>
      <w:r w:rsidRPr="00F47E6D">
        <w:rPr>
          <w:rFonts w:cs="Arial"/>
        </w:rPr>
        <w:t xml:space="preserve">A more appropriate standard </w:t>
      </w:r>
      <w:r w:rsidR="00A8135E">
        <w:rPr>
          <w:rFonts w:cs="Arial"/>
        </w:rPr>
        <w:t xml:space="preserve">in the Australian context </w:t>
      </w:r>
      <w:r w:rsidRPr="00F47E6D">
        <w:rPr>
          <w:rFonts w:cs="Arial"/>
        </w:rPr>
        <w:t xml:space="preserve">may be no more than a total 15 hours of shadow flicker per year </w:t>
      </w:r>
      <w:r w:rsidR="00F86643">
        <w:rPr>
          <w:rFonts w:cs="Arial"/>
        </w:rPr>
        <w:t xml:space="preserve">at a residence </w:t>
      </w:r>
      <w:r w:rsidRPr="00F47E6D">
        <w:rPr>
          <w:rFonts w:cs="Arial"/>
        </w:rPr>
        <w:t>and no more than 30 min</w:t>
      </w:r>
      <w:r>
        <w:rPr>
          <w:rFonts w:cs="Arial"/>
        </w:rPr>
        <w:t xml:space="preserve">utes of </w:t>
      </w:r>
      <w:r w:rsidR="00F3190B">
        <w:rPr>
          <w:rFonts w:cs="Arial"/>
        </w:rPr>
        <w:t xml:space="preserve">shadow </w:t>
      </w:r>
      <w:r>
        <w:rPr>
          <w:rFonts w:cs="Arial"/>
        </w:rPr>
        <w:t xml:space="preserve">flicker </w:t>
      </w:r>
      <w:r w:rsidR="00F3190B">
        <w:rPr>
          <w:rFonts w:cs="Arial"/>
        </w:rPr>
        <w:t xml:space="preserve">should be received </w:t>
      </w:r>
      <w:r>
        <w:rPr>
          <w:rFonts w:cs="Arial"/>
        </w:rPr>
        <w:t>on a given day.</w:t>
      </w:r>
      <w:r w:rsidRPr="00F47E6D">
        <w:rPr>
          <w:rFonts w:cs="Arial"/>
        </w:rPr>
        <w:t xml:space="preserve"> Neighbours</w:t>
      </w:r>
      <w:r w:rsidR="00C34858">
        <w:rPr>
          <w:rFonts w:cs="Arial"/>
        </w:rPr>
        <w:t xml:space="preserve"> experiencing</w:t>
      </w:r>
      <w:r w:rsidRPr="00F47E6D">
        <w:rPr>
          <w:rFonts w:cs="Arial"/>
        </w:rPr>
        <w:t xml:space="preserve"> </w:t>
      </w:r>
      <w:r w:rsidR="00C34858">
        <w:rPr>
          <w:rFonts w:cs="Arial"/>
        </w:rPr>
        <w:t xml:space="preserve">(or </w:t>
      </w:r>
      <w:r w:rsidRPr="00F47E6D">
        <w:rPr>
          <w:rFonts w:cs="Arial"/>
        </w:rPr>
        <w:t>likely to experience</w:t>
      </w:r>
      <w:r w:rsidR="00C34858">
        <w:rPr>
          <w:rFonts w:cs="Arial"/>
        </w:rPr>
        <w:t>)</w:t>
      </w:r>
      <w:r w:rsidRPr="00F47E6D">
        <w:rPr>
          <w:rFonts w:cs="Arial"/>
        </w:rPr>
        <w:t xml:space="preserve"> shadow flicker that is annoying should also be provided with the opportunity for having visual screening installed.</w:t>
      </w:r>
    </w:p>
    <w:p w14:paraId="3895C342" w14:textId="55F7F2FC" w:rsidR="00657BCC" w:rsidRPr="00A627C1" w:rsidRDefault="00947ED2" w:rsidP="00657BCC">
      <w:pPr>
        <w:pStyle w:val="ListParagraph"/>
        <w:numPr>
          <w:ilvl w:val="2"/>
          <w:numId w:val="8"/>
        </w:numPr>
        <w:ind w:left="1400" w:hanging="680"/>
        <w:rPr>
          <w:rFonts w:cs="Arial"/>
        </w:rPr>
      </w:pPr>
      <w:r w:rsidRPr="00F47E6D">
        <w:rPr>
          <w:rFonts w:cs="Arial"/>
        </w:rPr>
        <w:t>Final siting of turbines during construction (‘micro-siting’) should be lim</w:t>
      </w:r>
      <w:r>
        <w:rPr>
          <w:rFonts w:cs="Arial"/>
        </w:rPr>
        <w:t>ited to a distance of 100 metres</w:t>
      </w:r>
      <w:r w:rsidRPr="00F47E6D">
        <w:rPr>
          <w:rFonts w:cs="Arial"/>
        </w:rPr>
        <w:t xml:space="preserve"> from the </w:t>
      </w:r>
      <w:r w:rsidR="00F3190B">
        <w:rPr>
          <w:rFonts w:cs="Arial"/>
        </w:rPr>
        <w:t xml:space="preserve">approved </w:t>
      </w:r>
      <w:r w:rsidRPr="00F47E6D">
        <w:rPr>
          <w:rFonts w:cs="Arial"/>
        </w:rPr>
        <w:t>site</w:t>
      </w:r>
      <w:r w:rsidR="00F3190B">
        <w:rPr>
          <w:rFonts w:cs="Arial"/>
        </w:rPr>
        <w:t xml:space="preserve"> location</w:t>
      </w:r>
      <w:r w:rsidRPr="00F47E6D">
        <w:rPr>
          <w:rFonts w:cs="Arial"/>
        </w:rPr>
        <w:t xml:space="preserve">, be no closer to a residence </w:t>
      </w:r>
      <w:r w:rsidR="00EC32B1">
        <w:rPr>
          <w:rFonts w:cs="Arial"/>
        </w:rPr>
        <w:t>(or property boundary per R</w:t>
      </w:r>
      <w:r>
        <w:rPr>
          <w:rFonts w:cs="Arial"/>
        </w:rPr>
        <w:t xml:space="preserve">ecommendation 5.2.7) </w:t>
      </w:r>
      <w:r w:rsidRPr="00F47E6D">
        <w:rPr>
          <w:rFonts w:cs="Arial"/>
        </w:rPr>
        <w:t>and be properly documented, including the reasons for the change. Micro-siting of a distance greater than 100m should require written approval from the responsible authority.</w:t>
      </w:r>
    </w:p>
    <w:p w14:paraId="60CF0274" w14:textId="77777777" w:rsidR="00947ED2" w:rsidRPr="00F47E6D" w:rsidRDefault="00947ED2" w:rsidP="00D35B01">
      <w:pPr>
        <w:pStyle w:val="ListParagraph"/>
        <w:numPr>
          <w:ilvl w:val="0"/>
          <w:numId w:val="8"/>
        </w:numPr>
        <w:rPr>
          <w:rFonts w:cs="Arial"/>
          <w:b/>
        </w:rPr>
      </w:pPr>
      <w:r>
        <w:rPr>
          <w:rFonts w:cs="Arial"/>
          <w:b/>
        </w:rPr>
        <w:t>U</w:t>
      </w:r>
      <w:r w:rsidRPr="00F47E6D">
        <w:rPr>
          <w:rFonts w:cs="Arial"/>
          <w:b/>
        </w:rPr>
        <w:t xml:space="preserve">se </w:t>
      </w:r>
      <w:r>
        <w:rPr>
          <w:rFonts w:cs="Arial"/>
          <w:b/>
        </w:rPr>
        <w:t xml:space="preserve">and selection </w:t>
      </w:r>
      <w:r w:rsidRPr="00F47E6D">
        <w:rPr>
          <w:rFonts w:cs="Arial"/>
          <w:b/>
        </w:rPr>
        <w:t>of Experts</w:t>
      </w:r>
    </w:p>
    <w:p w14:paraId="009DF3F6" w14:textId="77777777" w:rsidR="00947ED2" w:rsidRPr="00F47E6D" w:rsidRDefault="00947ED2" w:rsidP="00D35B01">
      <w:pPr>
        <w:pStyle w:val="ListParagraph"/>
        <w:numPr>
          <w:ilvl w:val="1"/>
          <w:numId w:val="8"/>
        </w:numPr>
        <w:rPr>
          <w:rFonts w:cs="Arial"/>
          <w:b/>
        </w:rPr>
      </w:pPr>
      <w:r w:rsidRPr="00F47E6D">
        <w:rPr>
          <w:rFonts w:cs="Arial"/>
          <w:b/>
        </w:rPr>
        <w:t>Observations</w:t>
      </w:r>
    </w:p>
    <w:p w14:paraId="46A4D359" w14:textId="77777777" w:rsidR="00947ED2" w:rsidRPr="00F47E6D" w:rsidRDefault="00947ED2" w:rsidP="00947ED2">
      <w:pPr>
        <w:pStyle w:val="ListParagraph"/>
        <w:numPr>
          <w:ilvl w:val="0"/>
          <w:numId w:val="0"/>
        </w:numPr>
        <w:ind w:left="360"/>
        <w:rPr>
          <w:rFonts w:cs="Arial"/>
        </w:rPr>
      </w:pPr>
      <w:r w:rsidRPr="00F47E6D">
        <w:rPr>
          <w:rFonts w:cs="Arial"/>
        </w:rPr>
        <w:t>The design and approval of a proposed wind farm relies heavily on third-party consultants (or ‘experts’) to prepare a range of reports related to noise assessments, visual amenity, shadow flicker</w:t>
      </w:r>
      <w:r>
        <w:rPr>
          <w:rFonts w:cs="Arial"/>
        </w:rPr>
        <w:t>, aviation impact</w:t>
      </w:r>
      <w:r w:rsidRPr="00F47E6D">
        <w:rPr>
          <w:rFonts w:cs="Arial"/>
        </w:rPr>
        <w:t xml:space="preserve"> and various environmental assessments.</w:t>
      </w:r>
    </w:p>
    <w:p w14:paraId="3C4CD2E7" w14:textId="77777777" w:rsidR="00947ED2" w:rsidRPr="00F47E6D" w:rsidRDefault="00947ED2" w:rsidP="00947ED2">
      <w:pPr>
        <w:pStyle w:val="ListParagraph"/>
        <w:numPr>
          <w:ilvl w:val="0"/>
          <w:numId w:val="0"/>
        </w:numPr>
        <w:ind w:left="360"/>
        <w:rPr>
          <w:rFonts w:cs="Arial"/>
        </w:rPr>
      </w:pPr>
      <w:r w:rsidRPr="00F47E6D">
        <w:rPr>
          <w:rFonts w:cs="Arial"/>
        </w:rPr>
        <w:t xml:space="preserve">Experts are selected and paid for by the developer. The expert reports are typically included with the developer’s submission to the responsible authority when seeking approval for the wind farm project. </w:t>
      </w:r>
      <w:r w:rsidRPr="00F47E6D">
        <w:rPr>
          <w:rFonts w:cs="Arial"/>
        </w:rPr>
        <w:lastRenderedPageBreak/>
        <w:t>Much of the report information is based on results from predictive computer modelling and therefore the accuracy of the reports and recommendations is dependent on the quality and precision of the computer model, the accuracy of the data used and the skills of the expert in interpreting the output of the modelling analysis.</w:t>
      </w:r>
    </w:p>
    <w:p w14:paraId="6A43B77D" w14:textId="77777777" w:rsidR="00947ED2" w:rsidRPr="00F47E6D" w:rsidRDefault="00947ED2" w:rsidP="00947ED2">
      <w:pPr>
        <w:pStyle w:val="ListParagraph"/>
        <w:numPr>
          <w:ilvl w:val="0"/>
          <w:numId w:val="0"/>
        </w:numPr>
        <w:ind w:left="360"/>
        <w:rPr>
          <w:rFonts w:cs="Arial"/>
        </w:rPr>
      </w:pPr>
      <w:r w:rsidRPr="00F47E6D">
        <w:rPr>
          <w:rFonts w:cs="Arial"/>
        </w:rPr>
        <w:t xml:space="preserve">Once the wind farm is built, experts </w:t>
      </w:r>
      <w:r>
        <w:rPr>
          <w:rFonts w:cs="Arial"/>
        </w:rPr>
        <w:t>are often re-engaged to carry out</w:t>
      </w:r>
      <w:r w:rsidRPr="00F47E6D">
        <w:rPr>
          <w:rFonts w:cs="Arial"/>
        </w:rPr>
        <w:t xml:space="preserve"> post-construction assessments. These assessment reports utilise actual data from the wind farm, however still rely on </w:t>
      </w:r>
      <w:r>
        <w:rPr>
          <w:rFonts w:cs="Arial"/>
        </w:rPr>
        <w:t xml:space="preserve">assumptions and modelling </w:t>
      </w:r>
      <w:r w:rsidRPr="00F47E6D">
        <w:rPr>
          <w:rFonts w:cs="Arial"/>
        </w:rPr>
        <w:t xml:space="preserve">to analyse the </w:t>
      </w:r>
      <w:r>
        <w:rPr>
          <w:rFonts w:cs="Arial"/>
        </w:rPr>
        <w:t xml:space="preserve">collected </w:t>
      </w:r>
      <w:r w:rsidRPr="00F47E6D">
        <w:rPr>
          <w:rFonts w:cs="Arial"/>
        </w:rPr>
        <w:t xml:space="preserve">data and present in a format </w:t>
      </w:r>
      <w:r>
        <w:rPr>
          <w:rFonts w:cs="Arial"/>
        </w:rPr>
        <w:t xml:space="preserve">to enable </w:t>
      </w:r>
      <w:r w:rsidRPr="00F47E6D">
        <w:rPr>
          <w:rFonts w:cs="Arial"/>
        </w:rPr>
        <w:t>conclusions.</w:t>
      </w:r>
    </w:p>
    <w:p w14:paraId="42E332DE" w14:textId="77777777" w:rsidR="00947ED2" w:rsidRPr="00F47E6D" w:rsidRDefault="00947ED2" w:rsidP="00947ED2">
      <w:pPr>
        <w:pStyle w:val="ListParagraph"/>
        <w:numPr>
          <w:ilvl w:val="0"/>
          <w:numId w:val="0"/>
        </w:numPr>
        <w:ind w:left="360"/>
        <w:rPr>
          <w:rFonts w:cs="Arial"/>
        </w:rPr>
      </w:pPr>
      <w:r w:rsidRPr="00F47E6D">
        <w:rPr>
          <w:rFonts w:cs="Arial"/>
        </w:rPr>
        <w:t xml:space="preserve">It is very common that the experts engaged to perform the design assessments and reports during the planning phase are the same experts engaged by the developer to perform the </w:t>
      </w:r>
      <w:r>
        <w:rPr>
          <w:rFonts w:cs="Arial"/>
        </w:rPr>
        <w:t>post-construction assessments. D</w:t>
      </w:r>
      <w:r w:rsidRPr="00F47E6D">
        <w:rPr>
          <w:rFonts w:cs="Arial"/>
        </w:rPr>
        <w:t xml:space="preserve">evelopers </w:t>
      </w:r>
      <w:r>
        <w:rPr>
          <w:rFonts w:cs="Arial"/>
        </w:rPr>
        <w:t xml:space="preserve">also </w:t>
      </w:r>
      <w:r w:rsidRPr="00F47E6D">
        <w:rPr>
          <w:rFonts w:cs="Arial"/>
        </w:rPr>
        <w:t>often use the same experts on multiple projects.</w:t>
      </w:r>
    </w:p>
    <w:p w14:paraId="21233D2D" w14:textId="77777777" w:rsidR="00947ED2" w:rsidRPr="00F47E6D" w:rsidRDefault="00947ED2" w:rsidP="00947ED2">
      <w:pPr>
        <w:pStyle w:val="ListParagraph"/>
        <w:numPr>
          <w:ilvl w:val="0"/>
          <w:numId w:val="0"/>
        </w:numPr>
        <w:ind w:left="360"/>
        <w:rPr>
          <w:rFonts w:cs="Arial"/>
        </w:rPr>
      </w:pPr>
      <w:r w:rsidRPr="00F47E6D">
        <w:rPr>
          <w:rFonts w:cs="Arial"/>
        </w:rPr>
        <w:t xml:space="preserve">The selection and use of the same expert in both the design and then </w:t>
      </w:r>
      <w:r>
        <w:rPr>
          <w:rFonts w:cs="Arial"/>
        </w:rPr>
        <w:t xml:space="preserve">post-construction </w:t>
      </w:r>
      <w:r w:rsidRPr="00F47E6D">
        <w:rPr>
          <w:rFonts w:cs="Arial"/>
        </w:rPr>
        <w:t>phases of a wind farm may give rise to perceived or real conflicts of interest between the developer and the expert</w:t>
      </w:r>
      <w:r>
        <w:rPr>
          <w:rFonts w:cs="Arial"/>
        </w:rPr>
        <w:t xml:space="preserve"> and the desired expectations of the expert confirming a compliant wind farm</w:t>
      </w:r>
      <w:r w:rsidRPr="00F47E6D">
        <w:rPr>
          <w:rFonts w:cs="Arial"/>
        </w:rPr>
        <w:t xml:space="preserve">. As a hypothetical example, an acoustician engaged to assess the proposed wind farm’s design for compliance with the noise standard and is then engaged to assess the operating wind farm for actual compliance, may be placed in a difficult situation if the acoustician discovers </w:t>
      </w:r>
      <w:r>
        <w:rPr>
          <w:rFonts w:cs="Arial"/>
        </w:rPr>
        <w:t xml:space="preserve">some aspects of </w:t>
      </w:r>
      <w:r w:rsidRPr="00F47E6D">
        <w:rPr>
          <w:rFonts w:cs="Arial"/>
        </w:rPr>
        <w:t xml:space="preserve">the operating wind farm is in fact non-compliant, particularly if areas of non-compliance may be a result of errors made in the original acoustician’s </w:t>
      </w:r>
      <w:r>
        <w:rPr>
          <w:rFonts w:cs="Arial"/>
        </w:rPr>
        <w:t xml:space="preserve">design </w:t>
      </w:r>
      <w:r w:rsidRPr="00F47E6D">
        <w:rPr>
          <w:rFonts w:cs="Arial"/>
        </w:rPr>
        <w:t>assessment.</w:t>
      </w:r>
    </w:p>
    <w:p w14:paraId="5FEEA89C" w14:textId="77777777" w:rsidR="00947ED2" w:rsidRDefault="00947ED2" w:rsidP="00947ED2">
      <w:pPr>
        <w:pStyle w:val="ListParagraph"/>
        <w:numPr>
          <w:ilvl w:val="0"/>
          <w:numId w:val="0"/>
        </w:numPr>
        <w:ind w:left="360"/>
        <w:rPr>
          <w:rFonts w:cs="Arial"/>
        </w:rPr>
      </w:pPr>
      <w:r w:rsidRPr="00F47E6D">
        <w:rPr>
          <w:rFonts w:cs="Arial"/>
        </w:rPr>
        <w:t xml:space="preserve">There is certainly scope for a better separation between the experts used for the predictive assessments </w:t>
      </w:r>
      <w:r>
        <w:rPr>
          <w:rFonts w:cs="Arial"/>
        </w:rPr>
        <w:t xml:space="preserve">used in the design </w:t>
      </w:r>
      <w:r w:rsidRPr="00F47E6D">
        <w:rPr>
          <w:rFonts w:cs="Arial"/>
        </w:rPr>
        <w:t xml:space="preserve">versus the experts used for the post-construction assessments of a wind farm, along with </w:t>
      </w:r>
      <w:r>
        <w:rPr>
          <w:rFonts w:cs="Arial"/>
        </w:rPr>
        <w:t xml:space="preserve">the addition of audits </w:t>
      </w:r>
      <w:r w:rsidRPr="00F47E6D">
        <w:rPr>
          <w:rFonts w:cs="Arial"/>
        </w:rPr>
        <w:t>of the expert’s work so as to minimise errors, maximise transparency and better manage perceived or real conflicts of interest.</w:t>
      </w:r>
      <w:r>
        <w:rPr>
          <w:rFonts w:cs="Arial"/>
        </w:rPr>
        <w:t xml:space="preserve">  </w:t>
      </w:r>
    </w:p>
    <w:p w14:paraId="61C74A87" w14:textId="77777777" w:rsidR="00947ED2" w:rsidRDefault="00947ED2" w:rsidP="00947ED2">
      <w:pPr>
        <w:pStyle w:val="ListParagraph"/>
        <w:numPr>
          <w:ilvl w:val="0"/>
          <w:numId w:val="0"/>
        </w:numPr>
        <w:ind w:left="360"/>
        <w:rPr>
          <w:rFonts w:cs="Arial"/>
        </w:rPr>
      </w:pPr>
      <w:r>
        <w:rPr>
          <w:rFonts w:cs="Arial"/>
        </w:rPr>
        <w:t>In summary, best practice that has been observed is as follows:</w:t>
      </w:r>
    </w:p>
    <w:p w14:paraId="3582FF6D" w14:textId="7EFF9944" w:rsidR="00947ED2" w:rsidRDefault="00206F39" w:rsidP="00947ED2">
      <w:pPr>
        <w:pStyle w:val="ListBullet"/>
        <w:ind w:left="1089"/>
      </w:pPr>
      <w:r>
        <w:t>e</w:t>
      </w:r>
      <w:r w:rsidR="00947ED2">
        <w:t>xpert is appointed by developer to carry out relevant assessment as part of planning and design activity</w:t>
      </w:r>
    </w:p>
    <w:p w14:paraId="7D8DBF07" w14:textId="20FA1B71" w:rsidR="00947ED2" w:rsidRDefault="00206F39" w:rsidP="00947ED2">
      <w:pPr>
        <w:pStyle w:val="ListBullet"/>
        <w:ind w:left="1089"/>
      </w:pPr>
      <w:r>
        <w:t>i</w:t>
      </w:r>
      <w:r w:rsidR="00947ED2">
        <w:t>ndepe</w:t>
      </w:r>
      <w:r>
        <w:t>nde</w:t>
      </w:r>
      <w:r w:rsidR="00947ED2">
        <w:t>nt auditor is appointed to scrutinise and review expert’s assessment/design report and makes findings/recommendations known to developer</w:t>
      </w:r>
      <w:r w:rsidR="00E5039F">
        <w:t xml:space="preserve">, the </w:t>
      </w:r>
      <w:r w:rsidR="00947ED2">
        <w:t>responsible authority</w:t>
      </w:r>
      <w:r w:rsidR="00E5039F">
        <w:t xml:space="preserve"> and other relevant agencies (e.g. C</w:t>
      </w:r>
      <w:r w:rsidR="00657BCC">
        <w:t>ivil Aviation Safety Authority</w:t>
      </w:r>
      <w:r w:rsidR="00E5039F">
        <w:t>, C</w:t>
      </w:r>
      <w:r w:rsidR="00657BCC">
        <w:t>ountry Fire Authority</w:t>
      </w:r>
      <w:r w:rsidR="00E5039F">
        <w:t xml:space="preserve">, </w:t>
      </w:r>
      <w:r w:rsidR="00657BCC">
        <w:t>Environment Protection Authority</w:t>
      </w:r>
      <w:r w:rsidR="00E5039F">
        <w:t xml:space="preserve"> etc.)</w:t>
      </w:r>
    </w:p>
    <w:p w14:paraId="68051D39" w14:textId="4528636D" w:rsidR="00E5039F" w:rsidRDefault="00206F39" w:rsidP="00850722">
      <w:pPr>
        <w:pStyle w:val="ListBullet"/>
        <w:ind w:left="1089"/>
      </w:pPr>
      <w:r>
        <w:t>o</w:t>
      </w:r>
      <w:r w:rsidR="00947ED2">
        <w:t>nce the wind farm is constructed, a different expert (to the design expert) is appointed to carry out the</w:t>
      </w:r>
      <w:r w:rsidR="00E5039F">
        <w:t xml:space="preserve"> required</w:t>
      </w:r>
      <w:r w:rsidR="00947ED2">
        <w:t xml:space="preserve"> post</w:t>
      </w:r>
      <w:r w:rsidR="00E5039F">
        <w:t>-</w:t>
      </w:r>
      <w:r w:rsidR="00947ED2">
        <w:t>construction compliance assessments</w:t>
      </w:r>
      <w:r w:rsidR="00E9145E">
        <w:t>, and</w:t>
      </w:r>
    </w:p>
    <w:p w14:paraId="3EDE5534" w14:textId="4721E9F8" w:rsidR="00947ED2" w:rsidRDefault="00206F39" w:rsidP="00850722">
      <w:pPr>
        <w:pStyle w:val="ListBullet"/>
        <w:ind w:left="1089"/>
      </w:pPr>
      <w:r>
        <w:t>t</w:t>
      </w:r>
      <w:r w:rsidR="00947ED2">
        <w:t>he post-construction report is then reviewed by a different independent auditor for accuracy and integrity. The auditor makes findings/recommendations known to developer and responsible authority.</w:t>
      </w:r>
    </w:p>
    <w:p w14:paraId="72779324" w14:textId="22BB0CC4" w:rsidR="00947ED2" w:rsidRDefault="00947ED2" w:rsidP="00947ED2">
      <w:pPr>
        <w:pStyle w:val="ListBullet"/>
        <w:numPr>
          <w:ilvl w:val="0"/>
          <w:numId w:val="0"/>
        </w:numPr>
        <w:ind w:left="369" w:hanging="9"/>
      </w:pPr>
      <w:r>
        <w:t xml:space="preserve">These additional steps and separation of experts and auditors will go a long way to enable strengthened confidence in the significant decisions being made on the basis of expert reports. The process will also better protect industry from errors and risks of being non-compliant. Already, jurisdictions such as Victoria have adopted this framework for all new and modified wind farm planning permits, and </w:t>
      </w:r>
      <w:r w:rsidR="00E5039F">
        <w:t xml:space="preserve">some </w:t>
      </w:r>
      <w:r>
        <w:t>other states have implemented variations on the above.</w:t>
      </w:r>
    </w:p>
    <w:p w14:paraId="7C28A633" w14:textId="07BDE612" w:rsidR="00947ED2" w:rsidRDefault="00947ED2" w:rsidP="00E9145E">
      <w:pPr>
        <w:pStyle w:val="ListBullet"/>
        <w:numPr>
          <w:ilvl w:val="0"/>
          <w:numId w:val="0"/>
        </w:numPr>
        <w:ind w:left="369" w:hanging="9"/>
      </w:pPr>
      <w:r>
        <w:t>Finally, it is expected that these reforms will increase the opportunities for additional experts and auditors as well as help facilitate growth of skills and firms in the relevant disciplines.</w:t>
      </w:r>
    </w:p>
    <w:p w14:paraId="7A96A6F7" w14:textId="77777777" w:rsidR="00A627C1" w:rsidRDefault="00A627C1" w:rsidP="00E9145E">
      <w:pPr>
        <w:pStyle w:val="ListBullet"/>
        <w:numPr>
          <w:ilvl w:val="0"/>
          <w:numId w:val="0"/>
        </w:numPr>
        <w:ind w:left="369" w:hanging="9"/>
      </w:pPr>
    </w:p>
    <w:p w14:paraId="3E7CE47E" w14:textId="77777777" w:rsidR="00947ED2" w:rsidRPr="00F47E6D" w:rsidRDefault="00947ED2" w:rsidP="00D35B01">
      <w:pPr>
        <w:pStyle w:val="ListParagraph"/>
        <w:numPr>
          <w:ilvl w:val="1"/>
          <w:numId w:val="8"/>
        </w:numPr>
        <w:rPr>
          <w:rFonts w:cs="Arial"/>
          <w:b/>
        </w:rPr>
      </w:pPr>
      <w:r w:rsidRPr="00F47E6D">
        <w:rPr>
          <w:rFonts w:cs="Arial"/>
          <w:b/>
        </w:rPr>
        <w:lastRenderedPageBreak/>
        <w:t>Recommendations</w:t>
      </w:r>
    </w:p>
    <w:p w14:paraId="58569A40" w14:textId="77777777" w:rsidR="00947ED2" w:rsidRPr="00F47E6D" w:rsidRDefault="00947ED2" w:rsidP="00D35B01">
      <w:pPr>
        <w:pStyle w:val="ListParagraph"/>
        <w:numPr>
          <w:ilvl w:val="2"/>
          <w:numId w:val="8"/>
        </w:numPr>
        <w:ind w:left="1400" w:hanging="680"/>
        <w:rPr>
          <w:rFonts w:cs="Arial"/>
        </w:rPr>
      </w:pPr>
      <w:r w:rsidRPr="00F47E6D">
        <w:rPr>
          <w:rFonts w:cs="Arial"/>
        </w:rPr>
        <w:t>Given the reliance on information provided by experts in wind farm planning and compliance decision-making, experts used for wind farm compliance assessment engagements should be selected from an approved panel</w:t>
      </w:r>
      <w:r>
        <w:rPr>
          <w:rFonts w:cs="Arial"/>
        </w:rPr>
        <w:t xml:space="preserve"> or list</w:t>
      </w:r>
      <w:r w:rsidRPr="00F47E6D">
        <w:rPr>
          <w:rFonts w:cs="Arial"/>
        </w:rPr>
        <w:t xml:space="preserve">. The panel </w:t>
      </w:r>
      <w:r>
        <w:rPr>
          <w:rFonts w:cs="Arial"/>
        </w:rPr>
        <w:t xml:space="preserve">or list </w:t>
      </w:r>
      <w:r w:rsidRPr="00F47E6D">
        <w:rPr>
          <w:rFonts w:cs="Arial"/>
        </w:rPr>
        <w:t>is to be maintained by the responsible authority (or environmental regulator) and expert selection for a given project is to be approved by the responsible authority.</w:t>
      </w:r>
    </w:p>
    <w:p w14:paraId="0D687959" w14:textId="77777777" w:rsidR="00947ED2" w:rsidRPr="00F47E6D" w:rsidRDefault="00947ED2" w:rsidP="00D35B01">
      <w:pPr>
        <w:pStyle w:val="ListParagraph"/>
        <w:numPr>
          <w:ilvl w:val="2"/>
          <w:numId w:val="8"/>
        </w:numPr>
        <w:ind w:left="1400" w:hanging="680"/>
        <w:rPr>
          <w:rFonts w:cs="Arial"/>
        </w:rPr>
      </w:pPr>
      <w:r w:rsidRPr="00F47E6D">
        <w:rPr>
          <w:rFonts w:cs="Arial"/>
        </w:rPr>
        <w:t xml:space="preserve">The expert organisation </w:t>
      </w:r>
      <w:r>
        <w:rPr>
          <w:rFonts w:cs="Arial"/>
        </w:rPr>
        <w:t xml:space="preserve">(or expert) </w:t>
      </w:r>
      <w:r w:rsidRPr="00F47E6D">
        <w:rPr>
          <w:rFonts w:cs="Arial"/>
        </w:rPr>
        <w:t>selected to perform post-construction assessments at a wind farm should be a different expert organisation</w:t>
      </w:r>
      <w:r>
        <w:rPr>
          <w:rFonts w:cs="Arial"/>
        </w:rPr>
        <w:t xml:space="preserve"> (or expert)</w:t>
      </w:r>
      <w:r w:rsidRPr="00F47E6D">
        <w:rPr>
          <w:rFonts w:cs="Arial"/>
        </w:rPr>
        <w:t xml:space="preserve"> to the one </w:t>
      </w:r>
      <w:r>
        <w:rPr>
          <w:rFonts w:cs="Arial"/>
        </w:rPr>
        <w:t xml:space="preserve">that was </w:t>
      </w:r>
      <w:r w:rsidRPr="00F47E6D">
        <w:rPr>
          <w:rFonts w:cs="Arial"/>
        </w:rPr>
        <w:t>engage</w:t>
      </w:r>
      <w:r>
        <w:rPr>
          <w:rFonts w:cs="Arial"/>
        </w:rPr>
        <w:t>d for the design/planning phase of that wind farm.</w:t>
      </w:r>
    </w:p>
    <w:p w14:paraId="7C03F49D" w14:textId="71DF13DB" w:rsidR="00947ED2" w:rsidRPr="00F47E6D" w:rsidRDefault="00947ED2" w:rsidP="00D35B01">
      <w:pPr>
        <w:pStyle w:val="ListParagraph"/>
        <w:numPr>
          <w:ilvl w:val="2"/>
          <w:numId w:val="8"/>
        </w:numPr>
        <w:ind w:left="1400" w:hanging="680"/>
        <w:rPr>
          <w:rFonts w:cs="Arial"/>
        </w:rPr>
      </w:pPr>
      <w:r w:rsidRPr="00F47E6D">
        <w:rPr>
          <w:rFonts w:cs="Arial"/>
        </w:rPr>
        <w:t>Expert reports</w:t>
      </w:r>
      <w:r>
        <w:rPr>
          <w:rFonts w:cs="Arial"/>
        </w:rPr>
        <w:t>, assessments</w:t>
      </w:r>
      <w:r w:rsidRPr="00F47E6D">
        <w:rPr>
          <w:rFonts w:cs="Arial"/>
        </w:rPr>
        <w:t xml:space="preserve"> and techniques used for </w:t>
      </w:r>
      <w:r>
        <w:rPr>
          <w:rFonts w:cs="Arial"/>
        </w:rPr>
        <w:t xml:space="preserve">planning submissions, </w:t>
      </w:r>
      <w:r w:rsidR="00E5039F">
        <w:rPr>
          <w:rFonts w:cs="Arial"/>
        </w:rPr>
        <w:t xml:space="preserve">such as </w:t>
      </w:r>
      <w:r w:rsidR="00BD505C">
        <w:rPr>
          <w:rFonts w:cs="Arial"/>
        </w:rPr>
        <w:t>the predictive noise assessment and</w:t>
      </w:r>
      <w:r>
        <w:rPr>
          <w:rFonts w:cs="Arial"/>
        </w:rPr>
        <w:t xml:space="preserve"> the post-construction noise testing plan, </w:t>
      </w:r>
      <w:r w:rsidRPr="00F47E6D">
        <w:rPr>
          <w:rFonts w:cs="Arial"/>
        </w:rPr>
        <w:t>should be reviewed and assessed by an independent auditor</w:t>
      </w:r>
      <w:r>
        <w:rPr>
          <w:rFonts w:cs="Arial"/>
        </w:rPr>
        <w:t>,</w:t>
      </w:r>
      <w:r w:rsidRPr="00F47E6D">
        <w:rPr>
          <w:rFonts w:cs="Arial"/>
        </w:rPr>
        <w:t xml:space="preserve"> appointed </w:t>
      </w:r>
      <w:r>
        <w:rPr>
          <w:rFonts w:cs="Arial"/>
        </w:rPr>
        <w:t xml:space="preserve">or accredited </w:t>
      </w:r>
      <w:r w:rsidRPr="00F47E6D">
        <w:rPr>
          <w:rFonts w:cs="Arial"/>
        </w:rPr>
        <w:t xml:space="preserve">by the responsible authority and/or </w:t>
      </w:r>
      <w:r>
        <w:rPr>
          <w:rFonts w:cs="Arial"/>
        </w:rPr>
        <w:t xml:space="preserve">relevant </w:t>
      </w:r>
      <w:r w:rsidRPr="00F47E6D">
        <w:rPr>
          <w:rFonts w:cs="Arial"/>
        </w:rPr>
        <w:t>regulator.</w:t>
      </w:r>
      <w:r>
        <w:rPr>
          <w:rFonts w:cs="Arial"/>
        </w:rPr>
        <w:t xml:space="preserve"> Further, expert reports prepared with respect to post-construction compliance should also be reviewed and assessed by a different, independent auditor that has been appointed or accredited by the responsible authority and/or relevant regulator. </w:t>
      </w:r>
    </w:p>
    <w:p w14:paraId="3ECC2E76" w14:textId="77777777" w:rsidR="00947ED2" w:rsidRDefault="00947ED2" w:rsidP="00D35B01">
      <w:pPr>
        <w:pStyle w:val="ListParagraph"/>
        <w:numPr>
          <w:ilvl w:val="2"/>
          <w:numId w:val="8"/>
        </w:numPr>
        <w:ind w:left="1400" w:hanging="680"/>
        <w:rPr>
          <w:rFonts w:cs="Arial"/>
        </w:rPr>
      </w:pPr>
      <w:r w:rsidRPr="00F47E6D">
        <w:rPr>
          <w:rFonts w:cs="Arial"/>
        </w:rPr>
        <w:t>The appointed independent auditor</w:t>
      </w:r>
      <w:r>
        <w:rPr>
          <w:rFonts w:cs="Arial"/>
        </w:rPr>
        <w:t>s</w:t>
      </w:r>
      <w:r w:rsidRPr="00F47E6D">
        <w:rPr>
          <w:rFonts w:cs="Arial"/>
        </w:rPr>
        <w:t xml:space="preserve"> (refer to </w:t>
      </w:r>
      <w:r>
        <w:rPr>
          <w:rFonts w:cs="Arial"/>
        </w:rPr>
        <w:t xml:space="preserve">Recommendation </w:t>
      </w:r>
      <w:r w:rsidRPr="00F47E6D">
        <w:rPr>
          <w:rFonts w:cs="Arial"/>
        </w:rPr>
        <w:t xml:space="preserve">6.2.3) should </w:t>
      </w:r>
      <w:r>
        <w:rPr>
          <w:rFonts w:cs="Arial"/>
        </w:rPr>
        <w:t xml:space="preserve">be suitably qualified, experienced and accredited, </w:t>
      </w:r>
      <w:r w:rsidRPr="00F47E6D">
        <w:rPr>
          <w:rFonts w:cs="Arial"/>
        </w:rPr>
        <w:t>have the ability to assess the integrity and accuracy of the expert’s report and be able to identify and confirm compliance or non-compliance with the relevant permit conditions.</w:t>
      </w:r>
    </w:p>
    <w:p w14:paraId="33DC0C6B" w14:textId="66960ED9" w:rsidR="00657BCC" w:rsidRPr="00A627C1" w:rsidRDefault="00E5039F" w:rsidP="00A627C1">
      <w:pPr>
        <w:pStyle w:val="ListParagraph"/>
        <w:numPr>
          <w:ilvl w:val="2"/>
          <w:numId w:val="8"/>
        </w:numPr>
        <w:ind w:left="1400" w:hanging="680"/>
        <w:rPr>
          <w:rFonts w:cs="Arial"/>
        </w:rPr>
      </w:pPr>
      <w:r>
        <w:rPr>
          <w:rFonts w:cs="Arial"/>
        </w:rPr>
        <w:t xml:space="preserve">Planning approval processes should carefully take into account the advice of auditors and referral agencies, such as </w:t>
      </w:r>
      <w:r w:rsidR="00E9145E">
        <w:rPr>
          <w:rFonts w:cs="Arial"/>
        </w:rPr>
        <w:t>the Civil Aviation Safety Authority (</w:t>
      </w:r>
      <w:r>
        <w:rPr>
          <w:rFonts w:cs="Arial"/>
        </w:rPr>
        <w:t>CASA</w:t>
      </w:r>
      <w:r w:rsidR="00E9145E">
        <w:rPr>
          <w:rFonts w:cs="Arial"/>
        </w:rPr>
        <w:t>)</w:t>
      </w:r>
      <w:r>
        <w:rPr>
          <w:rFonts w:cs="Arial"/>
        </w:rPr>
        <w:t xml:space="preserve">, before deciding on </w:t>
      </w:r>
      <w:r w:rsidR="00E9145E">
        <w:rPr>
          <w:rFonts w:cs="Arial"/>
        </w:rPr>
        <w:t xml:space="preserve">whether to approve </w:t>
      </w:r>
      <w:r>
        <w:rPr>
          <w:rFonts w:cs="Arial"/>
        </w:rPr>
        <w:t>a project.</w:t>
      </w:r>
    </w:p>
    <w:p w14:paraId="3A1F2F6C" w14:textId="77777777" w:rsidR="00947ED2" w:rsidRPr="00F47E6D" w:rsidRDefault="00947ED2" w:rsidP="00D35B01">
      <w:pPr>
        <w:pStyle w:val="ListParagraph"/>
        <w:numPr>
          <w:ilvl w:val="0"/>
          <w:numId w:val="8"/>
        </w:numPr>
        <w:rPr>
          <w:rFonts w:cs="Arial"/>
          <w:b/>
        </w:rPr>
      </w:pPr>
      <w:r w:rsidRPr="00F47E6D">
        <w:rPr>
          <w:rFonts w:cs="Arial"/>
          <w:b/>
        </w:rPr>
        <w:t>Wind Farm Complaint Handling and Emergency Procedures</w:t>
      </w:r>
    </w:p>
    <w:p w14:paraId="596B11CF" w14:textId="77777777" w:rsidR="00947ED2" w:rsidRPr="00F47E6D" w:rsidRDefault="00947ED2" w:rsidP="00D35B01">
      <w:pPr>
        <w:pStyle w:val="ListParagraph"/>
        <w:numPr>
          <w:ilvl w:val="1"/>
          <w:numId w:val="8"/>
        </w:numPr>
        <w:rPr>
          <w:rFonts w:cs="Arial"/>
          <w:b/>
        </w:rPr>
      </w:pPr>
      <w:r w:rsidRPr="00F47E6D">
        <w:rPr>
          <w:rFonts w:cs="Arial"/>
          <w:b/>
        </w:rPr>
        <w:t>Observations</w:t>
      </w:r>
    </w:p>
    <w:p w14:paraId="7B97084A" w14:textId="6ABFDEEA" w:rsidR="00947ED2" w:rsidRPr="00F47E6D" w:rsidRDefault="00947ED2" w:rsidP="00947ED2">
      <w:pPr>
        <w:pStyle w:val="ListParagraph"/>
        <w:numPr>
          <w:ilvl w:val="0"/>
          <w:numId w:val="0"/>
        </w:numPr>
        <w:ind w:left="360"/>
        <w:rPr>
          <w:rFonts w:cs="Arial"/>
        </w:rPr>
      </w:pPr>
      <w:r w:rsidRPr="00F47E6D">
        <w:rPr>
          <w:rFonts w:cs="Arial"/>
        </w:rPr>
        <w:t xml:space="preserve">Wind farms are typically required to establish a complaint handling procedure and supporting systems and processes </w:t>
      </w:r>
      <w:r w:rsidR="004C55D1">
        <w:rPr>
          <w:rFonts w:cs="Arial"/>
        </w:rPr>
        <w:t xml:space="preserve">to comply with </w:t>
      </w:r>
      <w:r w:rsidRPr="00F47E6D">
        <w:rPr>
          <w:rFonts w:cs="Arial"/>
        </w:rPr>
        <w:t xml:space="preserve">planning permit conditions. It is also common sense that the wind farm be able to properly receive, investigate and resolve complaints as part of normal </w:t>
      </w:r>
      <w:r>
        <w:rPr>
          <w:rFonts w:cs="Arial"/>
        </w:rPr>
        <w:t xml:space="preserve">facility </w:t>
      </w:r>
      <w:r w:rsidRPr="00F47E6D">
        <w:rPr>
          <w:rFonts w:cs="Arial"/>
        </w:rPr>
        <w:t>operations and effective community engagement.</w:t>
      </w:r>
    </w:p>
    <w:p w14:paraId="6C25F3C5" w14:textId="5DD7B722" w:rsidR="00947ED2" w:rsidRPr="00F47E6D" w:rsidRDefault="00947ED2" w:rsidP="00947ED2">
      <w:pPr>
        <w:pStyle w:val="ListParagraph"/>
        <w:numPr>
          <w:ilvl w:val="0"/>
          <w:numId w:val="0"/>
        </w:numPr>
        <w:ind w:left="360"/>
        <w:rPr>
          <w:rFonts w:cs="Arial"/>
        </w:rPr>
      </w:pPr>
      <w:r w:rsidRPr="00F47E6D">
        <w:rPr>
          <w:rFonts w:cs="Arial"/>
        </w:rPr>
        <w:t xml:space="preserve">Complaint handling procedures are generally required to be submitted and endorsed by the responsible authority. However, </w:t>
      </w:r>
      <w:r w:rsidR="004C55D1">
        <w:rPr>
          <w:rFonts w:cs="Arial"/>
        </w:rPr>
        <w:t xml:space="preserve">currently, </w:t>
      </w:r>
      <w:r w:rsidRPr="00F47E6D">
        <w:rPr>
          <w:rFonts w:cs="Arial"/>
        </w:rPr>
        <w:t xml:space="preserve">requirements for </w:t>
      </w:r>
      <w:r>
        <w:rPr>
          <w:rFonts w:cs="Arial"/>
        </w:rPr>
        <w:t>complaint p</w:t>
      </w:r>
      <w:r w:rsidRPr="00F47E6D">
        <w:rPr>
          <w:rFonts w:cs="Arial"/>
        </w:rPr>
        <w:t xml:space="preserve">rocedures are often limited to noise and construction complaints only. Limited guidance is provided in permit conditions as to the </w:t>
      </w:r>
      <w:r>
        <w:rPr>
          <w:rFonts w:cs="Arial"/>
        </w:rPr>
        <w:t xml:space="preserve">process, </w:t>
      </w:r>
      <w:r w:rsidRPr="00F47E6D">
        <w:rPr>
          <w:rFonts w:cs="Arial"/>
        </w:rPr>
        <w:t>scope, requirements and standards that the complaint handling procedure should adhere to.</w:t>
      </w:r>
    </w:p>
    <w:p w14:paraId="0705B432" w14:textId="57E258FA" w:rsidR="00947ED2" w:rsidRPr="00F47E6D" w:rsidRDefault="00947ED2" w:rsidP="00947ED2">
      <w:pPr>
        <w:pStyle w:val="ListParagraph"/>
        <w:numPr>
          <w:ilvl w:val="0"/>
          <w:numId w:val="0"/>
        </w:numPr>
        <w:ind w:left="360"/>
        <w:rPr>
          <w:rFonts w:cs="Arial"/>
        </w:rPr>
      </w:pPr>
      <w:r w:rsidRPr="00F47E6D">
        <w:rPr>
          <w:rFonts w:cs="Arial"/>
        </w:rPr>
        <w:t xml:space="preserve">While wind farms are likely to be compliant with the requirement to submit and have </w:t>
      </w:r>
      <w:r>
        <w:rPr>
          <w:rFonts w:cs="Arial"/>
        </w:rPr>
        <w:t xml:space="preserve">an endorsed </w:t>
      </w:r>
      <w:r w:rsidRPr="00F47E6D">
        <w:rPr>
          <w:rFonts w:cs="Arial"/>
        </w:rPr>
        <w:t xml:space="preserve">complaint handling procedure, our observations </w:t>
      </w:r>
      <w:r>
        <w:rPr>
          <w:rFonts w:cs="Arial"/>
        </w:rPr>
        <w:t xml:space="preserve">have been </w:t>
      </w:r>
      <w:r w:rsidRPr="00F47E6D">
        <w:rPr>
          <w:rFonts w:cs="Arial"/>
        </w:rPr>
        <w:t xml:space="preserve">that </w:t>
      </w:r>
      <w:r w:rsidR="004C55D1">
        <w:rPr>
          <w:rFonts w:cs="Arial"/>
        </w:rPr>
        <w:t xml:space="preserve">a number of </w:t>
      </w:r>
      <w:r w:rsidRPr="00F47E6D">
        <w:rPr>
          <w:rFonts w:cs="Arial"/>
        </w:rPr>
        <w:t xml:space="preserve">wind farms </w:t>
      </w:r>
      <w:r w:rsidR="004C55D1">
        <w:rPr>
          <w:rFonts w:cs="Arial"/>
        </w:rPr>
        <w:t xml:space="preserve">(or proponents) have not </w:t>
      </w:r>
      <w:r w:rsidRPr="00F47E6D">
        <w:rPr>
          <w:rFonts w:cs="Arial"/>
        </w:rPr>
        <w:t>publish</w:t>
      </w:r>
      <w:r w:rsidR="004C55D1">
        <w:rPr>
          <w:rFonts w:cs="Arial"/>
        </w:rPr>
        <w:t>ed</w:t>
      </w:r>
      <w:r w:rsidRPr="00F47E6D">
        <w:rPr>
          <w:rFonts w:cs="Arial"/>
        </w:rPr>
        <w:t xml:space="preserve"> the procedure or communicate</w:t>
      </w:r>
      <w:r w:rsidR="004C55D1">
        <w:rPr>
          <w:rFonts w:cs="Arial"/>
        </w:rPr>
        <w:t>d</w:t>
      </w:r>
      <w:r w:rsidRPr="00F47E6D">
        <w:rPr>
          <w:rFonts w:cs="Arial"/>
        </w:rPr>
        <w:t xml:space="preserve"> the procedure to the community. This </w:t>
      </w:r>
      <w:r w:rsidR="004C55D1">
        <w:rPr>
          <w:rFonts w:cs="Arial"/>
        </w:rPr>
        <w:t xml:space="preserve">lack of transparency can </w:t>
      </w:r>
      <w:r w:rsidRPr="00F47E6D">
        <w:rPr>
          <w:rFonts w:cs="Arial"/>
        </w:rPr>
        <w:t xml:space="preserve">make it difficult for community members to know how to make a complaint and the process </w:t>
      </w:r>
      <w:r>
        <w:rPr>
          <w:rFonts w:cs="Arial"/>
        </w:rPr>
        <w:t xml:space="preserve">by which </w:t>
      </w:r>
      <w:r w:rsidRPr="00F47E6D">
        <w:rPr>
          <w:rFonts w:cs="Arial"/>
        </w:rPr>
        <w:t>they should expect their complaint to be handled.</w:t>
      </w:r>
    </w:p>
    <w:p w14:paraId="00DE9DBC" w14:textId="767603E6" w:rsidR="00947ED2" w:rsidRDefault="004C55D1" w:rsidP="00947ED2">
      <w:pPr>
        <w:pStyle w:val="ListParagraph"/>
        <w:numPr>
          <w:ilvl w:val="0"/>
          <w:numId w:val="0"/>
        </w:numPr>
        <w:ind w:left="360"/>
        <w:rPr>
          <w:rFonts w:cs="Arial"/>
        </w:rPr>
      </w:pPr>
      <w:r>
        <w:rPr>
          <w:rFonts w:cs="Arial"/>
        </w:rPr>
        <w:t>It is pleasing to see that many wind farms have adopted our suggestions and solid progress has been made in both the transparency of process and compliance with processes for complaint handling.  However, there are still further opportunities for some wind farm proponents to ensure they are f</w:t>
      </w:r>
      <w:r w:rsidR="00947ED2" w:rsidRPr="00F47E6D">
        <w:rPr>
          <w:rFonts w:cs="Arial"/>
        </w:rPr>
        <w:t xml:space="preserve">ollowing their own documented procedures when handling complaints, </w:t>
      </w:r>
      <w:r>
        <w:rPr>
          <w:rFonts w:cs="Arial"/>
        </w:rPr>
        <w:t xml:space="preserve">and avoid </w:t>
      </w:r>
      <w:r w:rsidR="00947ED2" w:rsidRPr="00551A40">
        <w:rPr>
          <w:rFonts w:cs="Arial"/>
        </w:rPr>
        <w:t>situat</w:t>
      </w:r>
      <w:r w:rsidR="00947ED2">
        <w:rPr>
          <w:rFonts w:cs="Arial"/>
        </w:rPr>
        <w:t>ions including:</w:t>
      </w:r>
    </w:p>
    <w:p w14:paraId="7755F848" w14:textId="717BF218" w:rsidR="00947ED2" w:rsidRDefault="00947ED2" w:rsidP="00D35B01">
      <w:pPr>
        <w:pStyle w:val="ListParagraph"/>
        <w:numPr>
          <w:ilvl w:val="0"/>
          <w:numId w:val="31"/>
        </w:numPr>
        <w:rPr>
          <w:rFonts w:cs="Arial"/>
        </w:rPr>
      </w:pPr>
      <w:r w:rsidRPr="00551A40">
        <w:rPr>
          <w:rFonts w:cs="Arial"/>
        </w:rPr>
        <w:lastRenderedPageBreak/>
        <w:t xml:space="preserve">multiple complaints from a resident about the same issue </w:t>
      </w:r>
      <w:r w:rsidR="004C55D1">
        <w:rPr>
          <w:rFonts w:cs="Arial"/>
        </w:rPr>
        <w:t xml:space="preserve">– with </w:t>
      </w:r>
      <w:r w:rsidRPr="00551A40">
        <w:rPr>
          <w:rFonts w:cs="Arial"/>
        </w:rPr>
        <w:t xml:space="preserve">no </w:t>
      </w:r>
      <w:r>
        <w:rPr>
          <w:rFonts w:cs="Arial"/>
        </w:rPr>
        <w:t xml:space="preserve">visible </w:t>
      </w:r>
      <w:r w:rsidRPr="00551A40">
        <w:rPr>
          <w:rFonts w:cs="Arial"/>
        </w:rPr>
        <w:t>action</w:t>
      </w:r>
      <w:r>
        <w:rPr>
          <w:rFonts w:cs="Arial"/>
        </w:rPr>
        <w:t xml:space="preserve"> being taken</w:t>
      </w:r>
      <w:r w:rsidRPr="00551A40">
        <w:rPr>
          <w:rFonts w:cs="Arial"/>
        </w:rPr>
        <w:t xml:space="preserve"> by the wind farm </w:t>
      </w:r>
      <w:r>
        <w:rPr>
          <w:rFonts w:cs="Arial"/>
        </w:rPr>
        <w:t>ope</w:t>
      </w:r>
      <w:r w:rsidR="00914661">
        <w:rPr>
          <w:rFonts w:cs="Arial"/>
        </w:rPr>
        <w:t>rator to investigate or resolve</w:t>
      </w:r>
    </w:p>
    <w:p w14:paraId="3822CAD5" w14:textId="0C55DC70" w:rsidR="00947ED2" w:rsidRDefault="00947ED2" w:rsidP="00D35B01">
      <w:pPr>
        <w:pStyle w:val="ListParagraph"/>
        <w:numPr>
          <w:ilvl w:val="0"/>
          <w:numId w:val="31"/>
        </w:numPr>
        <w:rPr>
          <w:rFonts w:cs="Arial"/>
        </w:rPr>
      </w:pPr>
      <w:r w:rsidRPr="00551A40">
        <w:rPr>
          <w:rFonts w:cs="Arial"/>
        </w:rPr>
        <w:t>a lack of rigour in inv</w:t>
      </w:r>
      <w:r>
        <w:rPr>
          <w:rFonts w:cs="Arial"/>
        </w:rPr>
        <w:t xml:space="preserve">estigations and </w:t>
      </w:r>
      <w:r w:rsidR="004C55D1">
        <w:rPr>
          <w:rFonts w:cs="Arial"/>
        </w:rPr>
        <w:t xml:space="preserve">clarity of </w:t>
      </w:r>
      <w:r w:rsidR="00914661">
        <w:rPr>
          <w:rFonts w:cs="Arial"/>
        </w:rPr>
        <w:t>correspondence, and</w:t>
      </w:r>
    </w:p>
    <w:p w14:paraId="29CC2951" w14:textId="4715F25F" w:rsidR="00947ED2" w:rsidRPr="00F47E6D" w:rsidRDefault="00947ED2" w:rsidP="00D35B01">
      <w:pPr>
        <w:pStyle w:val="ListParagraph"/>
        <w:numPr>
          <w:ilvl w:val="0"/>
          <w:numId w:val="31"/>
        </w:numPr>
        <w:rPr>
          <w:rFonts w:cs="Arial"/>
        </w:rPr>
      </w:pPr>
      <w:r w:rsidRPr="00551A40">
        <w:rPr>
          <w:rFonts w:cs="Arial"/>
        </w:rPr>
        <w:t>a lack of clarity regarding next steps in the process leading to numerous complaints that remain unresolved and/or not closed.</w:t>
      </w:r>
    </w:p>
    <w:p w14:paraId="1859DD66" w14:textId="06DC13B8" w:rsidR="00947ED2" w:rsidRPr="00F47E6D" w:rsidRDefault="00947ED2" w:rsidP="00947ED2">
      <w:pPr>
        <w:pStyle w:val="ListParagraph"/>
        <w:numPr>
          <w:ilvl w:val="0"/>
          <w:numId w:val="0"/>
        </w:numPr>
        <w:ind w:left="360"/>
        <w:rPr>
          <w:rFonts w:cs="Arial"/>
        </w:rPr>
      </w:pPr>
      <w:r w:rsidRPr="00F47E6D">
        <w:rPr>
          <w:rFonts w:cs="Arial"/>
        </w:rPr>
        <w:t>Even if the endorsed complaint handling procedures were being followed, there is also a wide range of wind farm complaint handling procedures in place</w:t>
      </w:r>
      <w:r>
        <w:rPr>
          <w:rFonts w:cs="Arial"/>
        </w:rPr>
        <w:t xml:space="preserve"> that vary by developer and project</w:t>
      </w:r>
      <w:r w:rsidRPr="00F47E6D">
        <w:rPr>
          <w:rFonts w:cs="Arial"/>
        </w:rPr>
        <w:t xml:space="preserve">, resulting </w:t>
      </w:r>
      <w:r>
        <w:rPr>
          <w:rFonts w:cs="Arial"/>
        </w:rPr>
        <w:t xml:space="preserve">often </w:t>
      </w:r>
      <w:r w:rsidRPr="00F47E6D">
        <w:rPr>
          <w:rFonts w:cs="Arial"/>
        </w:rPr>
        <w:t xml:space="preserve">in a lack of consistency in the quality and effectiveness of the procedures. Although wind farm operators possess a wide range of complaint handling skills, there </w:t>
      </w:r>
      <w:r w:rsidR="00365784">
        <w:rPr>
          <w:rFonts w:cs="Arial"/>
        </w:rPr>
        <w:t xml:space="preserve">continue to be </w:t>
      </w:r>
      <w:r w:rsidRPr="00F47E6D">
        <w:rPr>
          <w:rFonts w:cs="Arial"/>
        </w:rPr>
        <w:t>further opportunities to improve the capability of staff and effectiveness of the wind farm industry’s complaint handling procedures.</w:t>
      </w:r>
    </w:p>
    <w:p w14:paraId="4A8F44C8" w14:textId="7BF0A3F9" w:rsidR="00947ED2" w:rsidRDefault="00947ED2" w:rsidP="00947ED2">
      <w:pPr>
        <w:pStyle w:val="ListParagraph"/>
        <w:numPr>
          <w:ilvl w:val="0"/>
          <w:numId w:val="0"/>
        </w:numPr>
        <w:ind w:left="360"/>
        <w:rPr>
          <w:rFonts w:cs="Arial"/>
        </w:rPr>
      </w:pPr>
      <w:r w:rsidRPr="00F47E6D">
        <w:rPr>
          <w:rFonts w:cs="Arial"/>
        </w:rPr>
        <w:t>We have e</w:t>
      </w:r>
      <w:r>
        <w:rPr>
          <w:rFonts w:cs="Arial"/>
        </w:rPr>
        <w:t>ncouraged a number of wind farm developers and operators</w:t>
      </w:r>
      <w:r w:rsidRPr="00F47E6D">
        <w:rPr>
          <w:rFonts w:cs="Arial"/>
        </w:rPr>
        <w:t xml:space="preserve"> to voluntarily publish their complaint handling proc</w:t>
      </w:r>
      <w:r>
        <w:rPr>
          <w:rFonts w:cs="Arial"/>
        </w:rPr>
        <w:t>edures on the wind farm’s website</w:t>
      </w:r>
      <w:r w:rsidR="00365784">
        <w:rPr>
          <w:rFonts w:cs="Arial"/>
        </w:rPr>
        <w:t>. M</w:t>
      </w:r>
      <w:r>
        <w:rPr>
          <w:rFonts w:cs="Arial"/>
        </w:rPr>
        <w:t>any</w:t>
      </w:r>
      <w:r w:rsidRPr="00F47E6D">
        <w:rPr>
          <w:rFonts w:cs="Arial"/>
        </w:rPr>
        <w:t xml:space="preserve"> </w:t>
      </w:r>
      <w:r w:rsidR="00365784">
        <w:rPr>
          <w:rFonts w:cs="Arial"/>
        </w:rPr>
        <w:t xml:space="preserve">wind farms </w:t>
      </w:r>
      <w:r w:rsidRPr="00F47E6D">
        <w:rPr>
          <w:rFonts w:cs="Arial"/>
        </w:rPr>
        <w:t xml:space="preserve">have </w:t>
      </w:r>
      <w:r w:rsidR="00365784">
        <w:rPr>
          <w:rFonts w:cs="Arial"/>
        </w:rPr>
        <w:t xml:space="preserve">now </w:t>
      </w:r>
      <w:r w:rsidRPr="00F47E6D">
        <w:rPr>
          <w:rFonts w:cs="Arial"/>
        </w:rPr>
        <w:t>complied with this request. Some wind farm</w:t>
      </w:r>
      <w:r w:rsidR="00365784">
        <w:rPr>
          <w:rFonts w:cs="Arial"/>
        </w:rPr>
        <w:t xml:space="preserve"> proponents have </w:t>
      </w:r>
      <w:r w:rsidRPr="00F47E6D">
        <w:rPr>
          <w:rFonts w:cs="Arial"/>
        </w:rPr>
        <w:t>also revis</w:t>
      </w:r>
      <w:r w:rsidR="00365784">
        <w:rPr>
          <w:rFonts w:cs="Arial"/>
        </w:rPr>
        <w:t>ed</w:t>
      </w:r>
      <w:r w:rsidRPr="00F47E6D">
        <w:rPr>
          <w:rFonts w:cs="Arial"/>
        </w:rPr>
        <w:t xml:space="preserve"> their complaint handling procedures as a result of </w:t>
      </w:r>
      <w:r>
        <w:rPr>
          <w:rFonts w:cs="Arial"/>
        </w:rPr>
        <w:t xml:space="preserve">discussions with </w:t>
      </w:r>
      <w:r w:rsidR="00365784">
        <w:rPr>
          <w:rFonts w:cs="Arial"/>
        </w:rPr>
        <w:t>our</w:t>
      </w:r>
      <w:r>
        <w:rPr>
          <w:rFonts w:cs="Arial"/>
        </w:rPr>
        <w:t xml:space="preserve"> Office. The O</w:t>
      </w:r>
      <w:r w:rsidRPr="00F47E6D">
        <w:rPr>
          <w:rFonts w:cs="Arial"/>
        </w:rPr>
        <w:t xml:space="preserve">ffice </w:t>
      </w:r>
      <w:r w:rsidR="00365784">
        <w:rPr>
          <w:rFonts w:cs="Arial"/>
        </w:rPr>
        <w:t xml:space="preserve">continues to make </w:t>
      </w:r>
      <w:r w:rsidRPr="00F47E6D">
        <w:rPr>
          <w:rFonts w:cs="Arial"/>
        </w:rPr>
        <w:t xml:space="preserve">suggestions to </w:t>
      </w:r>
      <w:r>
        <w:rPr>
          <w:rFonts w:cs="Arial"/>
        </w:rPr>
        <w:t xml:space="preserve">improve </w:t>
      </w:r>
      <w:r w:rsidRPr="00F47E6D">
        <w:rPr>
          <w:rFonts w:cs="Arial"/>
        </w:rPr>
        <w:t xml:space="preserve">existing complaint handling procedures to </w:t>
      </w:r>
      <w:r w:rsidR="00365784">
        <w:rPr>
          <w:rFonts w:cs="Arial"/>
        </w:rPr>
        <w:t xml:space="preserve">the </w:t>
      </w:r>
      <w:r>
        <w:rPr>
          <w:rFonts w:cs="Arial"/>
        </w:rPr>
        <w:t xml:space="preserve">many </w:t>
      </w:r>
      <w:r w:rsidRPr="00F47E6D">
        <w:rPr>
          <w:rFonts w:cs="Arial"/>
        </w:rPr>
        <w:t xml:space="preserve">industry members who have sought </w:t>
      </w:r>
      <w:r>
        <w:rPr>
          <w:rFonts w:cs="Arial"/>
        </w:rPr>
        <w:t xml:space="preserve">our </w:t>
      </w:r>
      <w:r w:rsidRPr="00F47E6D">
        <w:rPr>
          <w:rFonts w:cs="Arial"/>
        </w:rPr>
        <w:t>assistance.</w:t>
      </w:r>
    </w:p>
    <w:p w14:paraId="754E855E" w14:textId="77777777" w:rsidR="00947ED2" w:rsidRDefault="00947ED2" w:rsidP="00947ED2">
      <w:pPr>
        <w:pStyle w:val="ListParagraph"/>
        <w:numPr>
          <w:ilvl w:val="0"/>
          <w:numId w:val="0"/>
        </w:numPr>
        <w:ind w:left="360"/>
        <w:rPr>
          <w:rFonts w:cs="Arial"/>
        </w:rPr>
      </w:pPr>
      <w:r w:rsidRPr="00F47E6D">
        <w:rPr>
          <w:rFonts w:cs="Arial"/>
        </w:rPr>
        <w:t xml:space="preserve">While objective measures and standards </w:t>
      </w:r>
      <w:r>
        <w:rPr>
          <w:rFonts w:cs="Arial"/>
        </w:rPr>
        <w:t>are used to determine</w:t>
      </w:r>
      <w:r w:rsidRPr="00F47E6D">
        <w:rPr>
          <w:rFonts w:cs="Arial"/>
        </w:rPr>
        <w:t xml:space="preserve"> </w:t>
      </w:r>
      <w:r>
        <w:rPr>
          <w:rFonts w:cs="Arial"/>
        </w:rPr>
        <w:t xml:space="preserve">compliance with noise restrictions, it is also evident that there is further scope to investigate complaints relating to noise emissions from turbines and other infrastructure. </w:t>
      </w:r>
      <w:r w:rsidRPr="00001D19">
        <w:rPr>
          <w:rFonts w:cs="Arial"/>
        </w:rPr>
        <w:t xml:space="preserve">In assessing noise-related complaints, the objective ‘tests’ currently in place do not necessarily capture the tonal character of noise emissions that a complainant may be experiencing. For instance, insufficient maintenance of infrastructure (for instance, a turbine or a substation transformer) may lead to harmonic frequencies that produce a harsher tone to the human ear. </w:t>
      </w:r>
      <w:r>
        <w:rPr>
          <w:rFonts w:cs="Arial"/>
        </w:rPr>
        <w:t xml:space="preserve">While this is not typically </w:t>
      </w:r>
      <w:r w:rsidRPr="00001D19">
        <w:rPr>
          <w:rFonts w:cs="Arial"/>
        </w:rPr>
        <w:t>represented in noise assessment data</w:t>
      </w:r>
      <w:r>
        <w:rPr>
          <w:rFonts w:cs="Arial"/>
        </w:rPr>
        <w:t>, c</w:t>
      </w:r>
      <w:r w:rsidRPr="00001D19">
        <w:rPr>
          <w:rFonts w:cs="Arial"/>
        </w:rPr>
        <w:t xml:space="preserve">ontemporary noise measurement or recording devices can be used to indicate that the tonal character of a </w:t>
      </w:r>
      <w:r>
        <w:rPr>
          <w:rFonts w:cs="Arial"/>
        </w:rPr>
        <w:t xml:space="preserve">particular </w:t>
      </w:r>
      <w:r w:rsidRPr="00001D19">
        <w:rPr>
          <w:rFonts w:cs="Arial"/>
        </w:rPr>
        <w:t xml:space="preserve">noise emission may reasonably be considered </w:t>
      </w:r>
      <w:r>
        <w:rPr>
          <w:rFonts w:cs="Arial"/>
        </w:rPr>
        <w:t xml:space="preserve">to be </w:t>
      </w:r>
      <w:r w:rsidRPr="00001D19">
        <w:rPr>
          <w:rFonts w:cs="Arial"/>
        </w:rPr>
        <w:t>disturbing or offensive</w:t>
      </w:r>
      <w:r>
        <w:rPr>
          <w:rFonts w:cs="Arial"/>
        </w:rPr>
        <w:t xml:space="preserve"> to a complainant</w:t>
      </w:r>
      <w:r w:rsidRPr="00001D19">
        <w:rPr>
          <w:rFonts w:cs="Arial"/>
        </w:rPr>
        <w:t>.</w:t>
      </w:r>
    </w:p>
    <w:p w14:paraId="59CF8722" w14:textId="7D983B16" w:rsidR="00365784" w:rsidRPr="00C4254E" w:rsidRDefault="00365784" w:rsidP="00947ED2">
      <w:pPr>
        <w:pStyle w:val="ListParagraph"/>
        <w:numPr>
          <w:ilvl w:val="0"/>
          <w:numId w:val="0"/>
        </w:numPr>
        <w:ind w:left="360"/>
        <w:rPr>
          <w:rFonts w:cs="Arial"/>
        </w:rPr>
      </w:pPr>
      <w:r>
        <w:rPr>
          <w:rFonts w:cs="Arial"/>
        </w:rPr>
        <w:t>Other events can cause abnormal noise</w:t>
      </w:r>
      <w:r w:rsidR="00914661">
        <w:rPr>
          <w:rFonts w:cs="Arial"/>
        </w:rPr>
        <w:t xml:space="preserve"> annoyance from wind turbines. </w:t>
      </w:r>
      <w:r>
        <w:rPr>
          <w:rFonts w:cs="Arial"/>
        </w:rPr>
        <w:t>These include loose bolts, lack of greasing of the rotating nacelle during the yaw process and lightning strike of a blade (piercing a hole in the turbi</w:t>
      </w:r>
      <w:r w:rsidR="00914661">
        <w:rPr>
          <w:rFonts w:cs="Arial"/>
        </w:rPr>
        <w:t>ne blade that causes a high-pitched whistling sound).</w:t>
      </w:r>
      <w:r>
        <w:rPr>
          <w:rFonts w:cs="Arial"/>
        </w:rPr>
        <w:t xml:space="preserve"> These situations require a rapid response to a complaint and it is in everyone’s interest that the turbine be repaired and the noise emission rectified.</w:t>
      </w:r>
    </w:p>
    <w:p w14:paraId="605F69BF" w14:textId="284730FD" w:rsidR="00947ED2" w:rsidRPr="00F47E6D" w:rsidRDefault="00947ED2" w:rsidP="00947ED2">
      <w:pPr>
        <w:pStyle w:val="ListParagraph"/>
        <w:numPr>
          <w:ilvl w:val="0"/>
          <w:numId w:val="0"/>
        </w:numPr>
        <w:ind w:left="360"/>
        <w:rPr>
          <w:rFonts w:cs="Arial"/>
        </w:rPr>
      </w:pPr>
      <w:r>
        <w:rPr>
          <w:rFonts w:cs="Arial"/>
        </w:rPr>
        <w:t>Following our discussions with the relevant Minister and Department, the Victorian G</w:t>
      </w:r>
      <w:r w:rsidRPr="00F47E6D">
        <w:rPr>
          <w:rFonts w:cs="Arial"/>
        </w:rPr>
        <w:t xml:space="preserve">overnment </w:t>
      </w:r>
      <w:r>
        <w:rPr>
          <w:rFonts w:cs="Arial"/>
        </w:rPr>
        <w:t xml:space="preserve">moved quickly to </w:t>
      </w:r>
      <w:r w:rsidRPr="00F47E6D">
        <w:rPr>
          <w:rFonts w:cs="Arial"/>
        </w:rPr>
        <w:t xml:space="preserve">introduce additional permit conditions related to complaint handling procedures and transparency based on our </w:t>
      </w:r>
      <w:r>
        <w:rPr>
          <w:rFonts w:cs="Arial"/>
        </w:rPr>
        <w:t xml:space="preserve">initial </w:t>
      </w:r>
      <w:r w:rsidRPr="00F47E6D">
        <w:rPr>
          <w:rFonts w:cs="Arial"/>
        </w:rPr>
        <w:t>observations a</w:t>
      </w:r>
      <w:r>
        <w:rPr>
          <w:rFonts w:cs="Arial"/>
        </w:rPr>
        <w:t>nd recommendations</w:t>
      </w:r>
      <w:r w:rsidRPr="00F47E6D">
        <w:rPr>
          <w:rFonts w:cs="Arial"/>
        </w:rPr>
        <w:t xml:space="preserve">. </w:t>
      </w:r>
      <w:r w:rsidR="00365784">
        <w:rPr>
          <w:rFonts w:cs="Arial"/>
        </w:rPr>
        <w:t>We understand t</w:t>
      </w:r>
      <w:r w:rsidRPr="00F47E6D">
        <w:rPr>
          <w:rFonts w:cs="Arial"/>
        </w:rPr>
        <w:t xml:space="preserve">hese additional conditions </w:t>
      </w:r>
      <w:r>
        <w:rPr>
          <w:rFonts w:cs="Arial"/>
        </w:rPr>
        <w:t xml:space="preserve">have been </w:t>
      </w:r>
      <w:r w:rsidRPr="00F47E6D">
        <w:rPr>
          <w:rFonts w:cs="Arial"/>
        </w:rPr>
        <w:t>applied to both new</w:t>
      </w:r>
      <w:r w:rsidR="00365784">
        <w:rPr>
          <w:rFonts w:cs="Arial"/>
        </w:rPr>
        <w:t xml:space="preserve">, </w:t>
      </w:r>
      <w:r w:rsidRPr="00F47E6D">
        <w:rPr>
          <w:rFonts w:cs="Arial"/>
        </w:rPr>
        <w:t>renew</w:t>
      </w:r>
      <w:r w:rsidR="009926F3">
        <w:rPr>
          <w:rFonts w:cs="Arial"/>
        </w:rPr>
        <w:t>ed</w:t>
      </w:r>
      <w:r w:rsidRPr="00F47E6D">
        <w:rPr>
          <w:rFonts w:cs="Arial"/>
        </w:rPr>
        <w:t xml:space="preserve"> </w:t>
      </w:r>
      <w:r w:rsidR="00365784">
        <w:rPr>
          <w:rFonts w:cs="Arial"/>
        </w:rPr>
        <w:t xml:space="preserve">and modified </w:t>
      </w:r>
      <w:r w:rsidRPr="00F47E6D">
        <w:rPr>
          <w:rFonts w:cs="Arial"/>
        </w:rPr>
        <w:t xml:space="preserve">planning permits </w:t>
      </w:r>
      <w:r w:rsidR="00365784">
        <w:rPr>
          <w:rFonts w:cs="Arial"/>
        </w:rPr>
        <w:t xml:space="preserve">issued </w:t>
      </w:r>
      <w:r w:rsidRPr="00F47E6D">
        <w:rPr>
          <w:rFonts w:cs="Arial"/>
        </w:rPr>
        <w:t>for wind farms in Victoria.</w:t>
      </w:r>
    </w:p>
    <w:p w14:paraId="4768B54E" w14:textId="3D0DE822" w:rsidR="00947ED2" w:rsidRDefault="00947ED2" w:rsidP="00947ED2">
      <w:pPr>
        <w:pStyle w:val="ListParagraph"/>
        <w:numPr>
          <w:ilvl w:val="0"/>
          <w:numId w:val="0"/>
        </w:numPr>
        <w:ind w:left="360"/>
        <w:rPr>
          <w:rFonts w:cs="Arial"/>
        </w:rPr>
      </w:pPr>
      <w:r w:rsidRPr="00F47E6D">
        <w:rPr>
          <w:rFonts w:cs="Arial"/>
        </w:rPr>
        <w:t xml:space="preserve">Finally, industry bodies such as the </w:t>
      </w:r>
      <w:r>
        <w:rPr>
          <w:rFonts w:cs="Arial"/>
        </w:rPr>
        <w:t>C</w:t>
      </w:r>
      <w:r w:rsidRPr="00F47E6D">
        <w:rPr>
          <w:rFonts w:cs="Arial"/>
        </w:rPr>
        <w:t>EC may have a key role to play in leading the development and promotion of a consistent, best practice complaint handling</w:t>
      </w:r>
      <w:r w:rsidR="00E548DA">
        <w:rPr>
          <w:rFonts w:cs="Arial"/>
        </w:rPr>
        <w:t xml:space="preserve"> model</w:t>
      </w:r>
      <w:r w:rsidR="00365784">
        <w:rPr>
          <w:rFonts w:cs="Arial"/>
        </w:rPr>
        <w:t>s</w:t>
      </w:r>
      <w:r w:rsidR="00E548DA">
        <w:rPr>
          <w:rFonts w:cs="Arial"/>
        </w:rPr>
        <w:t xml:space="preserve"> and</w:t>
      </w:r>
      <w:r w:rsidRPr="00F47E6D">
        <w:rPr>
          <w:rFonts w:cs="Arial"/>
        </w:rPr>
        <w:t xml:space="preserve"> procedure</w:t>
      </w:r>
      <w:r w:rsidR="00365784">
        <w:rPr>
          <w:rFonts w:cs="Arial"/>
        </w:rPr>
        <w:t>s</w:t>
      </w:r>
      <w:r w:rsidRPr="00F47E6D">
        <w:rPr>
          <w:rFonts w:cs="Arial"/>
        </w:rPr>
        <w:t xml:space="preserve"> for the wind energy industry that can be adopted by industry members</w:t>
      </w:r>
      <w:r w:rsidR="00365784">
        <w:rPr>
          <w:rFonts w:cs="Arial"/>
        </w:rPr>
        <w:t xml:space="preserve"> – configured </w:t>
      </w:r>
      <w:r w:rsidRPr="00F47E6D">
        <w:rPr>
          <w:rFonts w:cs="Arial"/>
        </w:rPr>
        <w:t>for their specific operations.</w:t>
      </w:r>
    </w:p>
    <w:p w14:paraId="170040EA" w14:textId="610CF60D" w:rsidR="00947ED2" w:rsidRPr="00F47E6D" w:rsidRDefault="00947ED2" w:rsidP="00947ED2">
      <w:pPr>
        <w:pStyle w:val="ListParagraph"/>
        <w:numPr>
          <w:ilvl w:val="0"/>
          <w:numId w:val="0"/>
        </w:numPr>
        <w:ind w:left="360"/>
        <w:rPr>
          <w:rFonts w:cs="Arial"/>
        </w:rPr>
      </w:pPr>
      <w:r>
        <w:rPr>
          <w:rFonts w:cs="Arial"/>
        </w:rPr>
        <w:t xml:space="preserve">We have also observed opportunities for clearer protocols to be put in place between wind farm operators and emergency response agencies, in particular as it relates to aerial firefighting and the ability to direct a rapid shutdown of wind turbines and the positioning of turbine blades during a shut-down to minimise the obstacle. Other </w:t>
      </w:r>
      <w:r w:rsidR="009926F3">
        <w:rPr>
          <w:rFonts w:cs="Arial"/>
        </w:rPr>
        <w:t xml:space="preserve">potential </w:t>
      </w:r>
      <w:r>
        <w:rPr>
          <w:rFonts w:cs="Arial"/>
        </w:rPr>
        <w:t>obstacles to aerial firefighting, such as meteorological masts, radio towers and powerlines may also exist around the wind farm site and pilots need to be well aware of this infrastructure.</w:t>
      </w:r>
      <w:r w:rsidR="00F2127B">
        <w:rPr>
          <w:rFonts w:cs="Arial"/>
        </w:rPr>
        <w:t xml:space="preserve"> </w:t>
      </w:r>
      <w:r w:rsidR="004B7015">
        <w:rPr>
          <w:rFonts w:cs="Arial"/>
        </w:rPr>
        <w:t xml:space="preserve">A consistent standard to the visible identification of meteorological masts </w:t>
      </w:r>
      <w:r w:rsidR="00246797">
        <w:rPr>
          <w:rFonts w:cs="Arial"/>
        </w:rPr>
        <w:t>should be considered</w:t>
      </w:r>
      <w:r w:rsidR="004B7015">
        <w:rPr>
          <w:rFonts w:cs="Arial"/>
        </w:rPr>
        <w:t>.</w:t>
      </w:r>
    </w:p>
    <w:p w14:paraId="7FC700BC" w14:textId="77777777" w:rsidR="00947ED2" w:rsidRPr="00F47E6D" w:rsidRDefault="00947ED2" w:rsidP="00D35B01">
      <w:pPr>
        <w:pStyle w:val="ListParagraph"/>
        <w:numPr>
          <w:ilvl w:val="1"/>
          <w:numId w:val="8"/>
        </w:numPr>
        <w:rPr>
          <w:rFonts w:cs="Arial"/>
          <w:b/>
        </w:rPr>
      </w:pPr>
      <w:r w:rsidRPr="00F47E6D">
        <w:rPr>
          <w:rFonts w:cs="Arial"/>
          <w:b/>
        </w:rPr>
        <w:lastRenderedPageBreak/>
        <w:t>Recommendations</w:t>
      </w:r>
    </w:p>
    <w:p w14:paraId="10742130" w14:textId="03827945" w:rsidR="00947ED2" w:rsidRPr="00F47E6D" w:rsidRDefault="00947ED2" w:rsidP="00D35B01">
      <w:pPr>
        <w:pStyle w:val="ListParagraph"/>
        <w:numPr>
          <w:ilvl w:val="2"/>
          <w:numId w:val="8"/>
        </w:numPr>
        <w:ind w:left="1400" w:hanging="680"/>
        <w:rPr>
          <w:rFonts w:cs="Arial"/>
        </w:rPr>
      </w:pPr>
      <w:r w:rsidRPr="00F47E6D">
        <w:rPr>
          <w:rFonts w:cs="Arial"/>
        </w:rPr>
        <w:t>Planning permit conditions should stipulate that wind farm complaint handling procedures support all types of complaints raised about the wind farm and also meet minimum standards for complaint handling proce</w:t>
      </w:r>
      <w:r w:rsidR="00F2127B">
        <w:rPr>
          <w:rFonts w:cs="Arial"/>
        </w:rPr>
        <w:t>dures.</w:t>
      </w:r>
      <w:r w:rsidRPr="00F47E6D">
        <w:rPr>
          <w:rFonts w:cs="Arial"/>
        </w:rPr>
        <w:t xml:space="preserve"> The developer should implement appropriate systems and processes to support the procedures and maintain an appropriately detailed complaint register.</w:t>
      </w:r>
    </w:p>
    <w:p w14:paraId="5229EFB3" w14:textId="399CEADA" w:rsidR="00947ED2" w:rsidRPr="00F47E6D" w:rsidRDefault="00947ED2" w:rsidP="00D35B01">
      <w:pPr>
        <w:pStyle w:val="ListParagraph"/>
        <w:numPr>
          <w:ilvl w:val="2"/>
          <w:numId w:val="8"/>
        </w:numPr>
        <w:ind w:left="1400" w:hanging="680"/>
        <w:rPr>
          <w:rFonts w:cs="Arial"/>
        </w:rPr>
      </w:pPr>
      <w:r w:rsidRPr="00F47E6D">
        <w:rPr>
          <w:rFonts w:cs="Arial"/>
        </w:rPr>
        <w:t xml:space="preserve">Planning permits should include a condition requiring the endorsed complaint handling procedure </w:t>
      </w:r>
      <w:r>
        <w:rPr>
          <w:rFonts w:cs="Arial"/>
        </w:rPr>
        <w:t xml:space="preserve">and the complaints register </w:t>
      </w:r>
      <w:r w:rsidRPr="00F47E6D">
        <w:rPr>
          <w:rFonts w:cs="Arial"/>
        </w:rPr>
        <w:t>to be published on the wind farm’s website.</w:t>
      </w:r>
      <w:r>
        <w:rPr>
          <w:rFonts w:cs="Arial"/>
        </w:rPr>
        <w:t xml:space="preserve"> The website should include a toll-free number and an email address for making contact with the wind farm</w:t>
      </w:r>
      <w:r w:rsidR="009926F3">
        <w:rPr>
          <w:rFonts w:cs="Arial"/>
        </w:rPr>
        <w:t xml:space="preserve"> operator</w:t>
      </w:r>
      <w:r w:rsidR="00F2127B">
        <w:rPr>
          <w:rFonts w:cs="Arial"/>
        </w:rPr>
        <w:t xml:space="preserve"> to make an enquiry or complai</w:t>
      </w:r>
      <w:r>
        <w:rPr>
          <w:rFonts w:cs="Arial"/>
        </w:rPr>
        <w:t>nt. Developers should also implement these provisions from the commencement of development as part of best practice transparency and community engagement.</w:t>
      </w:r>
    </w:p>
    <w:p w14:paraId="2DDD87E3" w14:textId="48D08DF9" w:rsidR="00947ED2" w:rsidRPr="00F47E6D" w:rsidRDefault="00947ED2" w:rsidP="00D35B01">
      <w:pPr>
        <w:pStyle w:val="ListParagraph"/>
        <w:numPr>
          <w:ilvl w:val="2"/>
          <w:numId w:val="8"/>
        </w:numPr>
        <w:ind w:left="1400" w:hanging="680"/>
        <w:rPr>
          <w:rFonts w:cs="Arial"/>
        </w:rPr>
      </w:pPr>
      <w:r w:rsidRPr="00F47E6D">
        <w:rPr>
          <w:rFonts w:cs="Arial"/>
        </w:rPr>
        <w:t xml:space="preserve">Planning permits should include a condition requiring the endorsed complaint handling procedure </w:t>
      </w:r>
      <w:r>
        <w:rPr>
          <w:rFonts w:cs="Arial"/>
        </w:rPr>
        <w:t xml:space="preserve">to </w:t>
      </w:r>
      <w:r w:rsidRPr="00F47E6D">
        <w:rPr>
          <w:rFonts w:cs="Arial"/>
        </w:rPr>
        <w:t>be followed and be complied with by the developer.</w:t>
      </w:r>
      <w:r>
        <w:rPr>
          <w:rFonts w:cs="Arial"/>
        </w:rPr>
        <w:t xml:space="preserve"> Failure to comply could be deemed as a material breach of permit compliance.</w:t>
      </w:r>
    </w:p>
    <w:p w14:paraId="26B2CB7C" w14:textId="77777777" w:rsidR="00947ED2" w:rsidRPr="00F47E6D" w:rsidRDefault="00947ED2" w:rsidP="00D35B01">
      <w:pPr>
        <w:pStyle w:val="ListParagraph"/>
        <w:numPr>
          <w:ilvl w:val="2"/>
          <w:numId w:val="8"/>
        </w:numPr>
        <w:ind w:left="1400" w:hanging="680"/>
        <w:rPr>
          <w:rFonts w:cs="Arial"/>
        </w:rPr>
      </w:pPr>
      <w:r w:rsidRPr="00F47E6D">
        <w:rPr>
          <w:rFonts w:cs="Arial"/>
        </w:rPr>
        <w:t xml:space="preserve">The responsible authority should have the powers and capability to audit a wind farm’s complaint handling activities and complaints register </w:t>
      </w:r>
      <w:r>
        <w:rPr>
          <w:rFonts w:cs="Arial"/>
        </w:rPr>
        <w:t xml:space="preserve">so </w:t>
      </w:r>
      <w:r w:rsidRPr="00F47E6D">
        <w:rPr>
          <w:rFonts w:cs="Arial"/>
        </w:rPr>
        <w:t>to monitor compliance with the procedures and the planning permit conditions.</w:t>
      </w:r>
      <w:r w:rsidRPr="00F47E6D" w:rsidDel="006E4759">
        <w:rPr>
          <w:rFonts w:cs="Arial"/>
        </w:rPr>
        <w:t xml:space="preserve"> </w:t>
      </w:r>
    </w:p>
    <w:p w14:paraId="34351A7B" w14:textId="77777777" w:rsidR="00947ED2" w:rsidRPr="00AC505D" w:rsidRDefault="00947ED2" w:rsidP="00D35B01">
      <w:pPr>
        <w:pStyle w:val="ListParagraph"/>
        <w:numPr>
          <w:ilvl w:val="2"/>
          <w:numId w:val="8"/>
        </w:numPr>
        <w:ind w:left="1400" w:hanging="680"/>
        <w:rPr>
          <w:rFonts w:cs="Arial"/>
        </w:rPr>
      </w:pPr>
      <w:r w:rsidRPr="00F47E6D">
        <w:rPr>
          <w:rFonts w:cs="Arial"/>
        </w:rPr>
        <w:t xml:space="preserve">The complaint handling procedure and the wind farm operator should have the capacity to </w:t>
      </w:r>
      <w:r>
        <w:rPr>
          <w:rFonts w:cs="Arial"/>
        </w:rPr>
        <w:t xml:space="preserve">accommodate </w:t>
      </w:r>
      <w:r w:rsidRPr="00F47E6D">
        <w:rPr>
          <w:rFonts w:cs="Arial"/>
        </w:rPr>
        <w:t>handl</w:t>
      </w:r>
      <w:r>
        <w:rPr>
          <w:rFonts w:cs="Arial"/>
        </w:rPr>
        <w:t>ing of</w:t>
      </w:r>
      <w:r w:rsidRPr="00F47E6D">
        <w:rPr>
          <w:rFonts w:cs="Arial"/>
        </w:rPr>
        <w:t xml:space="preserve"> urgent or emergency complaints. These complaints may be related to safety issues as well as unacceptable noise conditions due to damage to the turbine caused by externa</w:t>
      </w:r>
      <w:r>
        <w:rPr>
          <w:rFonts w:cs="Arial"/>
        </w:rPr>
        <w:t>l events such as lightning</w:t>
      </w:r>
      <w:r w:rsidRPr="00F47E6D">
        <w:rPr>
          <w:rFonts w:cs="Arial"/>
        </w:rPr>
        <w:t xml:space="preserve"> </w:t>
      </w:r>
      <w:r>
        <w:rPr>
          <w:rFonts w:cs="Arial"/>
        </w:rPr>
        <w:t xml:space="preserve">strike </w:t>
      </w:r>
      <w:r w:rsidRPr="00F47E6D">
        <w:rPr>
          <w:rFonts w:cs="Arial"/>
        </w:rPr>
        <w:t xml:space="preserve">or </w:t>
      </w:r>
      <w:r>
        <w:rPr>
          <w:rFonts w:cs="Arial"/>
        </w:rPr>
        <w:t>mechanical failure</w:t>
      </w:r>
      <w:r w:rsidRPr="00F47E6D">
        <w:rPr>
          <w:rFonts w:cs="Arial"/>
        </w:rPr>
        <w:t xml:space="preserve">. The wind farm operator should respond immediately, on-site, to address and rectify such issues. While objective measures and standards may be in place for assessing noise emissions, a subjective, reasonableness test should also be applied when assessing noise emissions such as </w:t>
      </w:r>
      <w:r>
        <w:rPr>
          <w:rFonts w:cs="Arial"/>
        </w:rPr>
        <w:t xml:space="preserve">abnormal noise emissions, </w:t>
      </w:r>
      <w:r w:rsidRPr="00F47E6D">
        <w:rPr>
          <w:rFonts w:cs="Arial"/>
        </w:rPr>
        <w:t>tonality, special audible characteristics and low frequency noise.</w:t>
      </w:r>
    </w:p>
    <w:p w14:paraId="7445B0A1" w14:textId="77777777" w:rsidR="00947ED2" w:rsidRDefault="00947ED2" w:rsidP="00D35B01">
      <w:pPr>
        <w:pStyle w:val="ListParagraph"/>
        <w:numPr>
          <w:ilvl w:val="2"/>
          <w:numId w:val="8"/>
        </w:numPr>
        <w:ind w:left="1400" w:hanging="680"/>
        <w:rPr>
          <w:rFonts w:cs="Arial"/>
        </w:rPr>
      </w:pPr>
      <w:r w:rsidRPr="00F47E6D">
        <w:rPr>
          <w:rFonts w:cs="Arial"/>
        </w:rPr>
        <w:t>For extreme emerg</w:t>
      </w:r>
      <w:r>
        <w:rPr>
          <w:rFonts w:cs="Arial"/>
        </w:rPr>
        <w:t>ency conditions, such as a bush</w:t>
      </w:r>
      <w:r w:rsidRPr="00F47E6D">
        <w:rPr>
          <w:rFonts w:cs="Arial"/>
        </w:rPr>
        <w:t>fire, the wind farm operator should have appropriate controls</w:t>
      </w:r>
      <w:r>
        <w:rPr>
          <w:rFonts w:cs="Arial"/>
        </w:rPr>
        <w:t>, protocols</w:t>
      </w:r>
      <w:r w:rsidRPr="00F47E6D">
        <w:rPr>
          <w:rFonts w:cs="Arial"/>
        </w:rPr>
        <w:t xml:space="preserve"> and procedures in place</w:t>
      </w:r>
      <w:r>
        <w:rPr>
          <w:rFonts w:cs="Arial"/>
        </w:rPr>
        <w:t xml:space="preserve">, </w:t>
      </w:r>
      <w:r w:rsidRPr="00F47E6D">
        <w:rPr>
          <w:rFonts w:cs="Arial"/>
        </w:rPr>
        <w:t>consistent with the emergency response requirements</w:t>
      </w:r>
      <w:r>
        <w:rPr>
          <w:rFonts w:cs="Arial"/>
        </w:rPr>
        <w:t>,</w:t>
      </w:r>
      <w:r w:rsidRPr="00F47E6D">
        <w:rPr>
          <w:rFonts w:cs="Arial"/>
        </w:rPr>
        <w:t xml:space="preserve"> </w:t>
      </w:r>
      <w:r>
        <w:rPr>
          <w:rFonts w:cs="Arial"/>
        </w:rPr>
        <w:t>to ensure the wind farm can be</w:t>
      </w:r>
      <w:r w:rsidRPr="00F47E6D">
        <w:rPr>
          <w:rFonts w:cs="Arial"/>
        </w:rPr>
        <w:t xml:space="preserve"> </w:t>
      </w:r>
      <w:r>
        <w:rPr>
          <w:rFonts w:cs="Arial"/>
        </w:rPr>
        <w:t xml:space="preserve">rapidly </w:t>
      </w:r>
      <w:r w:rsidRPr="00F47E6D">
        <w:rPr>
          <w:rFonts w:cs="Arial"/>
        </w:rPr>
        <w:t xml:space="preserve">shut down. </w:t>
      </w:r>
      <w:r>
        <w:rPr>
          <w:rFonts w:cs="Arial"/>
        </w:rPr>
        <w:t>Power n</w:t>
      </w:r>
      <w:r w:rsidRPr="00F47E6D">
        <w:rPr>
          <w:rFonts w:cs="Arial"/>
        </w:rPr>
        <w:t>etwork operators should be aware the wind farm capacity may need to be shut down quickly in the event of a bushfire.</w:t>
      </w:r>
      <w:r>
        <w:rPr>
          <w:rFonts w:cs="Arial"/>
        </w:rPr>
        <w:t xml:space="preserve">  </w:t>
      </w:r>
    </w:p>
    <w:p w14:paraId="3096096C" w14:textId="44DB327D" w:rsidR="00947ED2" w:rsidRPr="00F47E6D" w:rsidRDefault="00947ED2" w:rsidP="00D35B01">
      <w:pPr>
        <w:pStyle w:val="ListParagraph"/>
        <w:numPr>
          <w:ilvl w:val="2"/>
          <w:numId w:val="8"/>
        </w:numPr>
        <w:ind w:left="1400" w:hanging="680"/>
        <w:rPr>
          <w:rFonts w:cs="Arial"/>
        </w:rPr>
      </w:pPr>
      <w:r>
        <w:rPr>
          <w:rFonts w:cs="Arial"/>
        </w:rPr>
        <w:t>Wind farms should also work with the relevant firefighting agency to review procedures related to turbine blade positioning during a fire that minimises restrictions to aerial firefighting. The wind farm should also use appropriate marking devices to ensure transparency of other aerial obstacles such as meteorological masts, radio towers and powerlines to the firefighting agency. Such obstacles should require planning permits, a referral to CASA and be assessed as part of the aviation impact statement.</w:t>
      </w:r>
    </w:p>
    <w:p w14:paraId="06F454AC" w14:textId="77777777" w:rsidR="00947ED2" w:rsidRDefault="00947ED2" w:rsidP="00D35B01">
      <w:pPr>
        <w:pStyle w:val="ListParagraph"/>
        <w:numPr>
          <w:ilvl w:val="2"/>
          <w:numId w:val="8"/>
        </w:numPr>
        <w:ind w:left="1400" w:hanging="680"/>
        <w:rPr>
          <w:rFonts w:cs="Arial"/>
        </w:rPr>
      </w:pPr>
      <w:r w:rsidRPr="00E22317">
        <w:rPr>
          <w:rFonts w:cs="Arial"/>
        </w:rPr>
        <w:t>The industry peak body (CEC) could provide further leadership to the industry by developing and promoting best practice standards for complaint handling along with community engagement, landowner/neighbour agreements and quality assurance of member companies. The CEC could also encourage or mandate that its industry members voluntarily publish their wind farm’s complaint handling procedure and that members are properly trained and skilled in complaint handling.</w:t>
      </w:r>
    </w:p>
    <w:p w14:paraId="1BD5338C" w14:textId="72DD77EB" w:rsidR="00657BCC" w:rsidRPr="00A627C1" w:rsidRDefault="00B44941" w:rsidP="00A627C1">
      <w:pPr>
        <w:pStyle w:val="ListParagraph"/>
        <w:numPr>
          <w:ilvl w:val="2"/>
          <w:numId w:val="8"/>
        </w:numPr>
        <w:ind w:left="1400" w:hanging="680"/>
        <w:rPr>
          <w:rFonts w:cs="Arial"/>
        </w:rPr>
      </w:pPr>
      <w:r>
        <w:rPr>
          <w:rFonts w:cs="Arial"/>
        </w:rPr>
        <w:lastRenderedPageBreak/>
        <w:t xml:space="preserve">Policies and procedures for handling wind farm noise complaints lodged with local councils need to be in place where the possibility exists for noise complaints to be made under other governing legislation, such as the </w:t>
      </w:r>
      <w:r w:rsidR="00F2127B">
        <w:rPr>
          <w:rFonts w:cs="Arial"/>
        </w:rPr>
        <w:t xml:space="preserve">Victorian </w:t>
      </w:r>
      <w:r w:rsidRPr="00F2127B">
        <w:rPr>
          <w:rFonts w:cs="Arial"/>
          <w:i/>
        </w:rPr>
        <w:t>Public Health and Wellbeing Act</w:t>
      </w:r>
      <w:r w:rsidR="00F2127B" w:rsidRPr="00F2127B">
        <w:rPr>
          <w:rFonts w:cs="Arial"/>
          <w:i/>
        </w:rPr>
        <w:t xml:space="preserve"> 2008</w:t>
      </w:r>
      <w:r>
        <w:rPr>
          <w:rFonts w:cs="Arial"/>
        </w:rPr>
        <w:t>.</w:t>
      </w:r>
    </w:p>
    <w:p w14:paraId="6660F531" w14:textId="77777777" w:rsidR="00947ED2" w:rsidRPr="00F47E6D" w:rsidRDefault="00947ED2" w:rsidP="00D35B01">
      <w:pPr>
        <w:pStyle w:val="ListParagraph"/>
        <w:numPr>
          <w:ilvl w:val="0"/>
          <w:numId w:val="8"/>
        </w:numPr>
        <w:rPr>
          <w:rFonts w:cs="Arial"/>
          <w:b/>
        </w:rPr>
      </w:pPr>
      <w:r w:rsidRPr="00F47E6D">
        <w:rPr>
          <w:rFonts w:cs="Arial"/>
          <w:b/>
        </w:rPr>
        <w:t>Site Selection</w:t>
      </w:r>
    </w:p>
    <w:p w14:paraId="30AB472C" w14:textId="77777777" w:rsidR="00947ED2" w:rsidRPr="00F47E6D" w:rsidRDefault="00947ED2" w:rsidP="00D35B01">
      <w:pPr>
        <w:pStyle w:val="ListParagraph"/>
        <w:numPr>
          <w:ilvl w:val="1"/>
          <w:numId w:val="8"/>
        </w:numPr>
        <w:rPr>
          <w:rFonts w:cs="Arial"/>
          <w:b/>
        </w:rPr>
      </w:pPr>
      <w:r w:rsidRPr="00F47E6D">
        <w:rPr>
          <w:rFonts w:cs="Arial"/>
          <w:b/>
        </w:rPr>
        <w:t>Observations</w:t>
      </w:r>
    </w:p>
    <w:p w14:paraId="35D62BD1" w14:textId="77777777" w:rsidR="00947ED2" w:rsidRPr="00F47E6D" w:rsidRDefault="00947ED2" w:rsidP="00947ED2">
      <w:pPr>
        <w:pStyle w:val="ListParagraph"/>
        <w:numPr>
          <w:ilvl w:val="0"/>
          <w:numId w:val="0"/>
        </w:numPr>
        <w:ind w:left="360"/>
        <w:rPr>
          <w:rFonts w:cs="Arial"/>
        </w:rPr>
      </w:pPr>
      <w:r w:rsidRPr="00F47E6D">
        <w:rPr>
          <w:rFonts w:cs="Arial"/>
        </w:rPr>
        <w:t>The selection of a potential site for a proposed wind farm may take into account a range of factors including the available wind resource</w:t>
      </w:r>
      <w:r>
        <w:rPr>
          <w:rFonts w:cs="Arial"/>
        </w:rPr>
        <w:t xml:space="preserve">, </w:t>
      </w:r>
      <w:r w:rsidRPr="00F47E6D">
        <w:rPr>
          <w:rFonts w:cs="Arial"/>
        </w:rPr>
        <w:t>proximity to existing transmission infrastructure</w:t>
      </w:r>
      <w:r>
        <w:rPr>
          <w:rFonts w:cs="Arial"/>
        </w:rPr>
        <w:t>, landowner arrangements and other approved development in the area</w:t>
      </w:r>
      <w:r w:rsidRPr="00F47E6D">
        <w:rPr>
          <w:rFonts w:cs="Arial"/>
        </w:rPr>
        <w:t xml:space="preserve">.  </w:t>
      </w:r>
    </w:p>
    <w:p w14:paraId="745BB9AE" w14:textId="77777777" w:rsidR="00947ED2" w:rsidRPr="00F47E6D" w:rsidRDefault="00947ED2" w:rsidP="00947ED2">
      <w:pPr>
        <w:pStyle w:val="ListParagraph"/>
        <w:numPr>
          <w:ilvl w:val="0"/>
          <w:numId w:val="0"/>
        </w:numPr>
        <w:ind w:left="360"/>
        <w:rPr>
          <w:rFonts w:cs="Arial"/>
        </w:rPr>
      </w:pPr>
      <w:r w:rsidRPr="00F47E6D">
        <w:rPr>
          <w:rFonts w:cs="Arial"/>
        </w:rPr>
        <w:t>Current transmission infrastructure was originally designed and built many years ago based on existin</w:t>
      </w:r>
      <w:r>
        <w:rPr>
          <w:rFonts w:cs="Arial"/>
        </w:rPr>
        <w:t>g energy resources (such as coal)</w:t>
      </w:r>
      <w:r w:rsidRPr="00F47E6D">
        <w:rPr>
          <w:rFonts w:cs="Arial"/>
        </w:rPr>
        <w:t xml:space="preserve"> and did not envisage the significant shift to renewable resources such as wind and solar, which are often optimally located in areas away from existing grid infrastructure.</w:t>
      </w:r>
    </w:p>
    <w:p w14:paraId="7DEF305C" w14:textId="77777777" w:rsidR="00947ED2" w:rsidRPr="00F47E6D" w:rsidRDefault="00947ED2" w:rsidP="00947ED2">
      <w:pPr>
        <w:pStyle w:val="ListParagraph"/>
        <w:numPr>
          <w:ilvl w:val="0"/>
          <w:numId w:val="0"/>
        </w:numPr>
        <w:ind w:left="360"/>
        <w:rPr>
          <w:rFonts w:cs="Arial"/>
        </w:rPr>
      </w:pPr>
      <w:r w:rsidRPr="00F47E6D">
        <w:rPr>
          <w:rFonts w:cs="Arial"/>
        </w:rPr>
        <w:t>Prospecting developers are not generally restricted in initiating a new project on a particular site and will often commence by holding discussions with landowners to seek their agreement to host turbines. As such, prospective and developed wind farms can be located in a wide variety of site scenarios, from sparsely populated areas to locations inhabited by lifestyle property owners on small acreages.</w:t>
      </w:r>
    </w:p>
    <w:p w14:paraId="5C1F25D7" w14:textId="77777777" w:rsidR="00947ED2" w:rsidRPr="00F47E6D" w:rsidRDefault="00947ED2" w:rsidP="00947ED2">
      <w:pPr>
        <w:pStyle w:val="ListParagraph"/>
        <w:numPr>
          <w:ilvl w:val="0"/>
          <w:numId w:val="0"/>
        </w:numPr>
        <w:ind w:left="360"/>
        <w:rPr>
          <w:rFonts w:cs="Arial"/>
        </w:rPr>
      </w:pPr>
      <w:r w:rsidRPr="00F47E6D">
        <w:rPr>
          <w:rFonts w:cs="Arial"/>
        </w:rPr>
        <w:t>Our experience to date indicates that there is a much higher likelihood of community issues and concerns to contend with when a proposed or operating wind farm is located near or amongst more populated areas. Often, more populated areas correlate with the proximity and availability of transmission infrastructure, but they can also result in a very large number of neighbours who will reside in close proximity to multiple turbines.</w:t>
      </w:r>
    </w:p>
    <w:p w14:paraId="31FBA304" w14:textId="282CC4CC" w:rsidR="00947ED2" w:rsidRPr="00F47E6D" w:rsidRDefault="00947ED2" w:rsidP="00947ED2">
      <w:pPr>
        <w:pStyle w:val="ListParagraph"/>
        <w:numPr>
          <w:ilvl w:val="0"/>
          <w:numId w:val="0"/>
        </w:numPr>
        <w:ind w:left="360"/>
        <w:rPr>
          <w:rFonts w:cs="Arial"/>
        </w:rPr>
      </w:pPr>
      <w:r w:rsidRPr="00F47E6D">
        <w:rPr>
          <w:rFonts w:cs="Arial"/>
        </w:rPr>
        <w:t xml:space="preserve">Further, there may be multiple proposed </w:t>
      </w:r>
      <w:r>
        <w:rPr>
          <w:rFonts w:cs="Arial"/>
        </w:rPr>
        <w:t xml:space="preserve">(and/or existing) </w:t>
      </w:r>
      <w:r w:rsidRPr="00F47E6D">
        <w:rPr>
          <w:rFonts w:cs="Arial"/>
        </w:rPr>
        <w:t xml:space="preserve">wind farms in a given area, </w:t>
      </w:r>
      <w:r>
        <w:rPr>
          <w:rFonts w:cs="Arial"/>
        </w:rPr>
        <w:t xml:space="preserve">with </w:t>
      </w:r>
      <w:r w:rsidRPr="00F47E6D">
        <w:rPr>
          <w:rFonts w:cs="Arial"/>
        </w:rPr>
        <w:t>the potential for residents to be ‘surrounded’ by wind tu</w:t>
      </w:r>
      <w:r>
        <w:rPr>
          <w:rFonts w:cs="Arial"/>
        </w:rPr>
        <w:t>rbines if such projects proceed. These scenarios could l</w:t>
      </w:r>
      <w:r w:rsidRPr="00F47E6D">
        <w:rPr>
          <w:rFonts w:cs="Arial"/>
        </w:rPr>
        <w:t xml:space="preserve">ead to a range of compounding issues </w:t>
      </w:r>
      <w:r>
        <w:rPr>
          <w:rFonts w:cs="Arial"/>
        </w:rPr>
        <w:t xml:space="preserve">for residents </w:t>
      </w:r>
      <w:r w:rsidRPr="00F47E6D">
        <w:rPr>
          <w:rFonts w:cs="Arial"/>
        </w:rPr>
        <w:t>including noise, visual amenity and potential economic loss.</w:t>
      </w:r>
    </w:p>
    <w:p w14:paraId="1DA9983D" w14:textId="50DD0C81" w:rsidR="00947ED2" w:rsidRPr="00F47E6D" w:rsidRDefault="00947ED2" w:rsidP="00947ED2">
      <w:pPr>
        <w:pStyle w:val="ListParagraph"/>
        <w:numPr>
          <w:ilvl w:val="0"/>
          <w:numId w:val="0"/>
        </w:numPr>
        <w:ind w:left="360"/>
        <w:rPr>
          <w:rFonts w:cs="Arial"/>
        </w:rPr>
      </w:pPr>
      <w:r w:rsidRPr="00F47E6D">
        <w:rPr>
          <w:rFonts w:cs="Arial"/>
        </w:rPr>
        <w:t xml:space="preserve">Also, we have found that locating turbines on the top of hills or ridges, while </w:t>
      </w:r>
      <w:r w:rsidRPr="00551A40">
        <w:rPr>
          <w:rFonts w:cs="Arial"/>
        </w:rPr>
        <w:t xml:space="preserve">optimum for capturing the wind resource, can have greater impacts on visual amenity, </w:t>
      </w:r>
      <w:r>
        <w:rPr>
          <w:rFonts w:cs="Arial"/>
        </w:rPr>
        <w:t xml:space="preserve">may </w:t>
      </w:r>
      <w:r w:rsidRPr="00551A40">
        <w:rPr>
          <w:rFonts w:cs="Arial"/>
        </w:rPr>
        <w:t xml:space="preserve">lead to specific noise </w:t>
      </w:r>
      <w:r>
        <w:rPr>
          <w:rFonts w:cs="Arial"/>
        </w:rPr>
        <w:t xml:space="preserve">and shadow flicker </w:t>
      </w:r>
      <w:r w:rsidRPr="00551A40">
        <w:rPr>
          <w:rFonts w:cs="Arial"/>
        </w:rPr>
        <w:t>scenarios for residents in the valley beneath and may have other impacts on the</w:t>
      </w:r>
      <w:r w:rsidRPr="00F47E6D">
        <w:rPr>
          <w:rFonts w:cs="Arial"/>
        </w:rPr>
        <w:t xml:space="preserve"> community. </w:t>
      </w:r>
      <w:r>
        <w:rPr>
          <w:rFonts w:cs="Arial"/>
        </w:rPr>
        <w:t xml:space="preserve"> Access roads for hill ridge wind farms can also be obtrusive and significantly const</w:t>
      </w:r>
      <w:r w:rsidR="00423A2B">
        <w:rPr>
          <w:rFonts w:cs="Arial"/>
        </w:rPr>
        <w:t>r</w:t>
      </w:r>
      <w:r>
        <w:rPr>
          <w:rFonts w:cs="Arial"/>
        </w:rPr>
        <w:t>ain the available farming land in the area.</w:t>
      </w:r>
    </w:p>
    <w:p w14:paraId="0E421017" w14:textId="43EF40CF" w:rsidR="00947ED2" w:rsidRPr="00F47E6D" w:rsidRDefault="00947ED2" w:rsidP="00947ED2">
      <w:pPr>
        <w:pStyle w:val="ListParagraph"/>
        <w:numPr>
          <w:ilvl w:val="0"/>
          <w:numId w:val="0"/>
        </w:numPr>
        <w:ind w:left="360"/>
        <w:rPr>
          <w:rFonts w:cs="Arial"/>
        </w:rPr>
      </w:pPr>
      <w:r>
        <w:rPr>
          <w:rFonts w:cs="Arial"/>
        </w:rPr>
        <w:t>Conversely,</w:t>
      </w:r>
      <w:r w:rsidRPr="00F47E6D">
        <w:rPr>
          <w:rFonts w:cs="Arial"/>
        </w:rPr>
        <w:t xml:space="preserve"> there appear to be minimal issues raised to date about wind farms that are located on large land holdings, </w:t>
      </w:r>
      <w:r>
        <w:rPr>
          <w:rFonts w:cs="Arial"/>
        </w:rPr>
        <w:t xml:space="preserve">or </w:t>
      </w:r>
      <w:r w:rsidRPr="00F47E6D">
        <w:rPr>
          <w:rFonts w:cs="Arial"/>
        </w:rPr>
        <w:t xml:space="preserve">on flat or slight to moderate undulating land and </w:t>
      </w:r>
      <w:r>
        <w:rPr>
          <w:rFonts w:cs="Arial"/>
        </w:rPr>
        <w:t>sites that are well away from neighbours (</w:t>
      </w:r>
      <w:r w:rsidRPr="00551A40">
        <w:rPr>
          <w:rFonts w:cs="Arial"/>
        </w:rPr>
        <w:t>noting comments made earlier regarding</w:t>
      </w:r>
      <w:r w:rsidRPr="00F47E6D">
        <w:rPr>
          <w:rFonts w:cs="Arial"/>
        </w:rPr>
        <w:t xml:space="preserve"> landowner and neighbour agreements</w:t>
      </w:r>
      <w:r>
        <w:rPr>
          <w:rFonts w:cs="Arial"/>
        </w:rPr>
        <w:t xml:space="preserve"> in </w:t>
      </w:r>
      <w:r w:rsidR="00F2127B">
        <w:rPr>
          <w:rFonts w:cs="Arial"/>
        </w:rPr>
        <w:t>sub</w:t>
      </w:r>
      <w:r>
        <w:rPr>
          <w:rFonts w:cs="Arial"/>
        </w:rPr>
        <w:t>sections 1 and 2)</w:t>
      </w:r>
      <w:r w:rsidRPr="00F47E6D">
        <w:rPr>
          <w:rFonts w:cs="Arial"/>
        </w:rPr>
        <w:t>.</w:t>
      </w:r>
    </w:p>
    <w:p w14:paraId="176FF11D" w14:textId="7EC98524" w:rsidR="00947ED2" w:rsidRPr="00F47E6D" w:rsidRDefault="00947ED2" w:rsidP="00947ED2">
      <w:pPr>
        <w:pStyle w:val="ListParagraph"/>
        <w:numPr>
          <w:ilvl w:val="0"/>
          <w:numId w:val="0"/>
        </w:numPr>
        <w:ind w:left="360"/>
        <w:rPr>
          <w:rFonts w:cs="Arial"/>
        </w:rPr>
      </w:pPr>
      <w:r>
        <w:rPr>
          <w:rFonts w:cs="Arial"/>
        </w:rPr>
        <w:t xml:space="preserve">There may be opportunities to select and prioritise wind farm projects, from the current pipeline of wind energy generation projects, which better balance the likelihood of acceptance of the project by the surrounding community. Meeting the 2020 goals of the Australian Renewable Energy Target scheme would require approximately only one in </w:t>
      </w:r>
      <w:r w:rsidR="00EF4D7A">
        <w:rPr>
          <w:rFonts w:cs="Arial"/>
        </w:rPr>
        <w:t>three</w:t>
      </w:r>
      <w:r>
        <w:rPr>
          <w:rFonts w:cs="Arial"/>
        </w:rPr>
        <w:t xml:space="preserve"> of prospective </w:t>
      </w:r>
      <w:r w:rsidR="00EF4D7A">
        <w:rPr>
          <w:rFonts w:cs="Arial"/>
        </w:rPr>
        <w:t xml:space="preserve">wind farm </w:t>
      </w:r>
      <w:r>
        <w:rPr>
          <w:rFonts w:cs="Arial"/>
        </w:rPr>
        <w:t xml:space="preserve">projects (on a capacity basis), based </w:t>
      </w:r>
      <w:r w:rsidRPr="00F47E6D">
        <w:rPr>
          <w:rFonts w:cs="Arial"/>
        </w:rPr>
        <w:t xml:space="preserve">on data </w:t>
      </w:r>
      <w:r>
        <w:rPr>
          <w:rFonts w:cs="Arial"/>
        </w:rPr>
        <w:t xml:space="preserve">provided </w:t>
      </w:r>
      <w:r w:rsidRPr="00F47E6D">
        <w:rPr>
          <w:rFonts w:cs="Arial"/>
        </w:rPr>
        <w:t>from the CEC and</w:t>
      </w:r>
      <w:r>
        <w:rPr>
          <w:rFonts w:cs="Arial"/>
        </w:rPr>
        <w:t xml:space="preserve"> the</w:t>
      </w:r>
      <w:r w:rsidRPr="00F47E6D">
        <w:rPr>
          <w:rFonts w:cs="Arial"/>
        </w:rPr>
        <w:t xml:space="preserve"> Clean Energy Finance Corporation, </w:t>
      </w:r>
      <w:r>
        <w:rPr>
          <w:rFonts w:cs="Arial"/>
        </w:rPr>
        <w:t>to go ahead. There is therefore an ability to select wind farm projects that meet other key parameters, including economic and regional development goals, while also optimal from a community impact site-selection criteria.</w:t>
      </w:r>
    </w:p>
    <w:p w14:paraId="3C81A633" w14:textId="5886825A" w:rsidR="00947ED2" w:rsidRPr="00F47E6D" w:rsidRDefault="00947ED2" w:rsidP="00947ED2">
      <w:pPr>
        <w:pStyle w:val="ListParagraph"/>
        <w:numPr>
          <w:ilvl w:val="0"/>
          <w:numId w:val="0"/>
        </w:numPr>
        <w:ind w:left="360"/>
        <w:rPr>
          <w:rFonts w:cs="Arial"/>
        </w:rPr>
      </w:pPr>
      <w:r>
        <w:rPr>
          <w:rFonts w:cs="Arial"/>
        </w:rPr>
        <w:t>T</w:t>
      </w:r>
      <w:r w:rsidRPr="00F47E6D">
        <w:rPr>
          <w:rFonts w:cs="Arial"/>
        </w:rPr>
        <w:t xml:space="preserve">here can be great variances in the final design and turbine layout from the wind farm’s original design and approved permit conditions. As these changes occur, there are not necessarily sufficient processes in place to re-assess other nearby </w:t>
      </w:r>
      <w:r>
        <w:rPr>
          <w:rFonts w:cs="Arial"/>
        </w:rPr>
        <w:t xml:space="preserve">wind farm </w:t>
      </w:r>
      <w:r w:rsidRPr="00F47E6D">
        <w:rPr>
          <w:rFonts w:cs="Arial"/>
        </w:rPr>
        <w:t xml:space="preserve">projects for potential compounding impacts on residents </w:t>
      </w:r>
      <w:r w:rsidRPr="00F47E6D">
        <w:rPr>
          <w:rFonts w:cs="Arial"/>
        </w:rPr>
        <w:lastRenderedPageBreak/>
        <w:t>and whether or not projects with such compounding impacts should proceed.</w:t>
      </w:r>
      <w:r>
        <w:rPr>
          <w:rFonts w:cs="Arial"/>
        </w:rPr>
        <w:t xml:space="preserve"> There can also be cumulative effects during construction of more than one wind farm in a locality, placing enormous pressures on roads, resources (such as gravel), accommodation and skilled tradespersons.</w:t>
      </w:r>
    </w:p>
    <w:p w14:paraId="74410126" w14:textId="0A9B1594" w:rsidR="009A00AA" w:rsidRPr="00657BCC" w:rsidRDefault="00947ED2" w:rsidP="00657BCC">
      <w:pPr>
        <w:pStyle w:val="ListParagraph"/>
        <w:numPr>
          <w:ilvl w:val="0"/>
          <w:numId w:val="0"/>
        </w:numPr>
        <w:ind w:left="360"/>
        <w:rPr>
          <w:rFonts w:cs="Arial"/>
        </w:rPr>
      </w:pPr>
      <w:r w:rsidRPr="00F47E6D">
        <w:rPr>
          <w:rFonts w:cs="Arial"/>
        </w:rPr>
        <w:t xml:space="preserve">Given that existing wind farms have most likely already selected optimal sites for their location, management and selection of </w:t>
      </w:r>
      <w:r>
        <w:rPr>
          <w:rFonts w:cs="Arial"/>
        </w:rPr>
        <w:t xml:space="preserve">appropriate </w:t>
      </w:r>
      <w:r w:rsidRPr="00F47E6D">
        <w:rPr>
          <w:rFonts w:cs="Arial"/>
        </w:rPr>
        <w:t xml:space="preserve">new sites </w:t>
      </w:r>
      <w:r>
        <w:rPr>
          <w:rFonts w:cs="Arial"/>
        </w:rPr>
        <w:t xml:space="preserve">from remaining site options may </w:t>
      </w:r>
      <w:r w:rsidRPr="00F47E6D">
        <w:rPr>
          <w:rFonts w:cs="Arial"/>
        </w:rPr>
        <w:t>become more difficult. A more ‘top</w:t>
      </w:r>
      <w:r w:rsidR="00206F39">
        <w:rPr>
          <w:rFonts w:cs="Arial"/>
        </w:rPr>
        <w:t>-</w:t>
      </w:r>
      <w:r w:rsidRPr="00F47E6D">
        <w:rPr>
          <w:rFonts w:cs="Arial"/>
        </w:rPr>
        <w:t>down’ approach to selecting optimally located wind farm projects that should proceed may assist greatly i</w:t>
      </w:r>
      <w:r w:rsidR="00657BCC">
        <w:rPr>
          <w:rFonts w:cs="Arial"/>
        </w:rPr>
        <w:t>n this challenge going forward.</w:t>
      </w:r>
    </w:p>
    <w:p w14:paraId="0E32B3FD" w14:textId="77777777" w:rsidR="00947ED2" w:rsidRPr="00F47E6D" w:rsidRDefault="00947ED2" w:rsidP="00D35B01">
      <w:pPr>
        <w:pStyle w:val="ListParagraph"/>
        <w:numPr>
          <w:ilvl w:val="1"/>
          <w:numId w:val="8"/>
        </w:numPr>
        <w:rPr>
          <w:rFonts w:cs="Arial"/>
          <w:b/>
        </w:rPr>
      </w:pPr>
      <w:r w:rsidRPr="00F47E6D">
        <w:rPr>
          <w:rFonts w:cs="Arial"/>
          <w:b/>
        </w:rPr>
        <w:t>Recommendations</w:t>
      </w:r>
    </w:p>
    <w:p w14:paraId="4A2FB458" w14:textId="254B86C5" w:rsidR="00947ED2" w:rsidRDefault="00947ED2" w:rsidP="00D35B01">
      <w:pPr>
        <w:pStyle w:val="ListParagraph"/>
        <w:numPr>
          <w:ilvl w:val="2"/>
          <w:numId w:val="8"/>
        </w:numPr>
        <w:ind w:left="1400" w:hanging="680"/>
        <w:rPr>
          <w:rFonts w:cs="Arial"/>
        </w:rPr>
      </w:pPr>
      <w:r w:rsidRPr="00F47E6D">
        <w:rPr>
          <w:rFonts w:cs="Arial"/>
        </w:rPr>
        <w:t>State and local governments should consider assessing proposed wind energy projects on a wider range of criteria (including the suitability of a location from a community impact perspective and the degree of community support) and then prioritising projects for approval or progression accordingly. ‘Reverse auction’ feed-in tariff schemes such as the scheme</w:t>
      </w:r>
      <w:r w:rsidR="001A3F6C">
        <w:rPr>
          <w:rFonts w:cs="Arial"/>
        </w:rPr>
        <w:t>s</w:t>
      </w:r>
      <w:r w:rsidRPr="00F47E6D">
        <w:rPr>
          <w:rFonts w:cs="Arial"/>
        </w:rPr>
        <w:t xml:space="preserve"> recently deployed by the ACT</w:t>
      </w:r>
      <w:r>
        <w:rPr>
          <w:rFonts w:cs="Arial"/>
        </w:rPr>
        <w:t xml:space="preserve"> and Victorian governments</w:t>
      </w:r>
      <w:r w:rsidRPr="00F47E6D">
        <w:rPr>
          <w:rFonts w:cs="Arial"/>
        </w:rPr>
        <w:t xml:space="preserve">, could be an example of how to prioritise </w:t>
      </w:r>
      <w:r>
        <w:rPr>
          <w:rFonts w:cs="Arial"/>
        </w:rPr>
        <w:t xml:space="preserve">and incentivise </w:t>
      </w:r>
      <w:r w:rsidRPr="00F47E6D">
        <w:rPr>
          <w:rFonts w:cs="Arial"/>
        </w:rPr>
        <w:t xml:space="preserve">projects </w:t>
      </w:r>
      <w:r>
        <w:rPr>
          <w:rFonts w:cs="Arial"/>
        </w:rPr>
        <w:t xml:space="preserve">to be developed </w:t>
      </w:r>
      <w:r w:rsidRPr="00F47E6D">
        <w:rPr>
          <w:rFonts w:cs="Arial"/>
        </w:rPr>
        <w:t xml:space="preserve">in preferred locations </w:t>
      </w:r>
      <w:r w:rsidR="001A3F6C">
        <w:rPr>
          <w:rFonts w:cs="Arial"/>
        </w:rPr>
        <w:t xml:space="preserve">– as </w:t>
      </w:r>
      <w:r w:rsidRPr="00F47E6D">
        <w:rPr>
          <w:rFonts w:cs="Arial"/>
        </w:rPr>
        <w:t>well as promote best</w:t>
      </w:r>
      <w:r>
        <w:rPr>
          <w:rFonts w:cs="Arial"/>
        </w:rPr>
        <w:t xml:space="preserve"> practice community engagement.</w:t>
      </w:r>
      <w:r w:rsidRPr="00F47E6D">
        <w:rPr>
          <w:rFonts w:cs="Arial"/>
        </w:rPr>
        <w:t xml:space="preserve"> </w:t>
      </w:r>
      <w:r>
        <w:rPr>
          <w:rFonts w:cs="Arial"/>
        </w:rPr>
        <w:t xml:space="preserve">New visual amenity guidelines introduced </w:t>
      </w:r>
      <w:r w:rsidR="00F2127B">
        <w:rPr>
          <w:rFonts w:cs="Arial"/>
        </w:rPr>
        <w:t>in</w:t>
      </w:r>
      <w:r>
        <w:rPr>
          <w:rFonts w:cs="Arial"/>
        </w:rPr>
        <w:t xml:space="preserve"> </w:t>
      </w:r>
      <w:r w:rsidRPr="00F47E6D">
        <w:rPr>
          <w:rFonts w:cs="Arial"/>
        </w:rPr>
        <w:t>N</w:t>
      </w:r>
      <w:r>
        <w:rPr>
          <w:rFonts w:cs="Arial"/>
        </w:rPr>
        <w:t>ew South Wales could also restrict development in more populated areas</w:t>
      </w:r>
      <w:r w:rsidR="001A3F6C">
        <w:rPr>
          <w:rFonts w:cs="Arial"/>
        </w:rPr>
        <w:t>, including reduction of the possibility of multiple wind farms in a given location</w:t>
      </w:r>
      <w:r>
        <w:rPr>
          <w:rFonts w:cs="Arial"/>
        </w:rPr>
        <w:t>.</w:t>
      </w:r>
    </w:p>
    <w:p w14:paraId="23268018" w14:textId="3B439209" w:rsidR="00947ED2" w:rsidRDefault="00947ED2" w:rsidP="00D35B01">
      <w:pPr>
        <w:pStyle w:val="ListParagraph"/>
        <w:numPr>
          <w:ilvl w:val="2"/>
          <w:numId w:val="8"/>
        </w:numPr>
        <w:ind w:left="1400" w:hanging="680"/>
        <w:rPr>
          <w:rFonts w:cs="Arial"/>
        </w:rPr>
      </w:pPr>
      <w:r>
        <w:rPr>
          <w:rFonts w:cs="Arial"/>
        </w:rPr>
        <w:t>State and local governments may also consider other criteria in assessing and prioritising wind energy projects, including economic development and the ability to both support regional and industry development through improved local electricity supply and infrastructure in regional communities. Appropriate zoning overlays for clarifying where it would be appropriate or not appropriate to build and operate wind farm developments should also be considered.</w:t>
      </w:r>
    </w:p>
    <w:p w14:paraId="170CD052" w14:textId="1DDE3337" w:rsidR="00947ED2" w:rsidRPr="00F47E6D" w:rsidRDefault="00947ED2" w:rsidP="00D35B01">
      <w:pPr>
        <w:pStyle w:val="ListParagraph"/>
        <w:numPr>
          <w:ilvl w:val="2"/>
          <w:numId w:val="8"/>
        </w:numPr>
        <w:ind w:left="1400" w:hanging="680"/>
        <w:rPr>
          <w:rFonts w:cs="Arial"/>
        </w:rPr>
      </w:pPr>
      <w:r w:rsidRPr="00F47E6D">
        <w:rPr>
          <w:rFonts w:cs="Arial"/>
        </w:rPr>
        <w:t xml:space="preserve">Prospecting for new wind farm development sites </w:t>
      </w:r>
      <w:r>
        <w:rPr>
          <w:rFonts w:cs="Arial"/>
        </w:rPr>
        <w:t xml:space="preserve">could </w:t>
      </w:r>
      <w:r w:rsidRPr="00F47E6D">
        <w:rPr>
          <w:rFonts w:cs="Arial"/>
        </w:rPr>
        <w:t xml:space="preserve">be subject to an </w:t>
      </w:r>
      <w:r>
        <w:rPr>
          <w:rFonts w:cs="Arial"/>
        </w:rPr>
        <w:t>‘</w:t>
      </w:r>
      <w:r w:rsidRPr="00F47E6D">
        <w:rPr>
          <w:rFonts w:cs="Arial"/>
        </w:rPr>
        <w:t>approval to prospect</w:t>
      </w:r>
      <w:r>
        <w:rPr>
          <w:rFonts w:cs="Arial"/>
        </w:rPr>
        <w:t>’</w:t>
      </w:r>
      <w:r w:rsidRPr="00F47E6D">
        <w:rPr>
          <w:rFonts w:cs="Arial"/>
        </w:rPr>
        <w:t xml:space="preserve"> requirement issued by the responsible authori</w:t>
      </w:r>
      <w:r>
        <w:rPr>
          <w:rFonts w:cs="Arial"/>
        </w:rPr>
        <w:t>ty before prospecting commences.  The approval to prospect would be granted on a range of criteria, including the suitability of the proposed site as well as the credentials of the developer</w:t>
      </w:r>
      <w:r w:rsidR="001A3F6C">
        <w:rPr>
          <w:rFonts w:cs="Arial"/>
        </w:rPr>
        <w:t xml:space="preserve"> and key personnel</w:t>
      </w:r>
      <w:r w:rsidR="00EC32B1">
        <w:rPr>
          <w:rFonts w:cs="Arial"/>
        </w:rPr>
        <w:t>. See also R</w:t>
      </w:r>
      <w:r>
        <w:rPr>
          <w:rFonts w:cs="Arial"/>
        </w:rPr>
        <w:t>ecommendation 1.2.9.</w:t>
      </w:r>
    </w:p>
    <w:p w14:paraId="61A084B9" w14:textId="77777777" w:rsidR="00947ED2" w:rsidRPr="00F47E6D" w:rsidRDefault="00947ED2" w:rsidP="00D35B01">
      <w:pPr>
        <w:pStyle w:val="ListParagraph"/>
        <w:numPr>
          <w:ilvl w:val="2"/>
          <w:numId w:val="8"/>
        </w:numPr>
        <w:ind w:left="1400" w:hanging="680"/>
        <w:rPr>
          <w:rFonts w:cs="Arial"/>
        </w:rPr>
      </w:pPr>
      <w:r w:rsidRPr="00F47E6D">
        <w:rPr>
          <w:rFonts w:cs="Arial"/>
        </w:rPr>
        <w:t xml:space="preserve">As part of the assessment suggested in </w:t>
      </w:r>
      <w:r>
        <w:rPr>
          <w:rFonts w:cs="Arial"/>
        </w:rPr>
        <w:t xml:space="preserve">Recommendation </w:t>
      </w:r>
      <w:r w:rsidRPr="00F47E6D">
        <w:rPr>
          <w:rFonts w:cs="Arial"/>
        </w:rPr>
        <w:t xml:space="preserve">8.2.1, the responsible authority should have processes </w:t>
      </w:r>
      <w:r>
        <w:rPr>
          <w:rFonts w:cs="Arial"/>
        </w:rPr>
        <w:t xml:space="preserve">in place </w:t>
      </w:r>
      <w:r w:rsidRPr="00F47E6D">
        <w:rPr>
          <w:rFonts w:cs="Arial"/>
        </w:rPr>
        <w:t>to obtain and verify clear evidence of the developer’s consultations with affected landowners and residents and be able to assess the likelihood of strong community support for the project.</w:t>
      </w:r>
    </w:p>
    <w:p w14:paraId="66108A1E" w14:textId="1C40F121" w:rsidR="00947ED2" w:rsidRPr="00F47E6D" w:rsidRDefault="00947ED2" w:rsidP="00D35B01">
      <w:pPr>
        <w:pStyle w:val="ListParagraph"/>
        <w:numPr>
          <w:ilvl w:val="2"/>
          <w:numId w:val="8"/>
        </w:numPr>
        <w:ind w:left="1400" w:hanging="680"/>
        <w:rPr>
          <w:rFonts w:cs="Arial"/>
        </w:rPr>
      </w:pPr>
      <w:r w:rsidRPr="00F47E6D">
        <w:rPr>
          <w:rFonts w:cs="Arial"/>
        </w:rPr>
        <w:t>Once an approved wind farm has commenced construction, the responsible authority should review other proposed wind farm projects in the area for any compounding effects on residents</w:t>
      </w:r>
      <w:r w:rsidR="00CC505E">
        <w:rPr>
          <w:rFonts w:cs="Arial"/>
        </w:rPr>
        <w:t>, including noise, shadow flicker and visual amenity</w:t>
      </w:r>
      <w:r w:rsidRPr="00F47E6D">
        <w:rPr>
          <w:rFonts w:cs="Arial"/>
        </w:rPr>
        <w:t xml:space="preserve">. The responsible authority should also have the ability to require a modification to the planning permit and turbine layout of </w:t>
      </w:r>
      <w:r w:rsidR="001A3F6C">
        <w:rPr>
          <w:rFonts w:cs="Arial"/>
        </w:rPr>
        <w:t>those</w:t>
      </w:r>
      <w:r w:rsidRPr="00F47E6D">
        <w:rPr>
          <w:rFonts w:cs="Arial"/>
        </w:rPr>
        <w:t xml:space="preserve"> projects that have not already materially commenced turbine construction. Background noise levels should exclude any noise contribution from a neighbouring operating wind farm for the purposes of applying the noise standard.</w:t>
      </w:r>
    </w:p>
    <w:p w14:paraId="238F83BB" w14:textId="105A0E9C" w:rsidR="00947ED2" w:rsidRPr="00F47E6D" w:rsidRDefault="00947ED2" w:rsidP="00D35B01">
      <w:pPr>
        <w:pStyle w:val="ListParagraph"/>
        <w:numPr>
          <w:ilvl w:val="2"/>
          <w:numId w:val="8"/>
        </w:numPr>
        <w:ind w:left="1400" w:hanging="680"/>
        <w:rPr>
          <w:rFonts w:cs="Arial"/>
        </w:rPr>
      </w:pPr>
      <w:r w:rsidRPr="00F47E6D">
        <w:rPr>
          <w:rFonts w:cs="Arial"/>
        </w:rPr>
        <w:t xml:space="preserve">State governments should publish and maintain a map of all operating and proposed wind farms, including the location of the wind farm, </w:t>
      </w:r>
      <w:r w:rsidR="00CC505E">
        <w:rPr>
          <w:rFonts w:cs="Arial"/>
        </w:rPr>
        <w:t xml:space="preserve">location of turbines, </w:t>
      </w:r>
      <w:r w:rsidRPr="00F47E6D">
        <w:rPr>
          <w:rFonts w:cs="Arial"/>
        </w:rPr>
        <w:t>the status</w:t>
      </w:r>
      <w:r w:rsidR="00CC505E">
        <w:rPr>
          <w:rFonts w:cs="Arial"/>
        </w:rPr>
        <w:t xml:space="preserve"> of the project</w:t>
      </w:r>
      <w:r w:rsidRPr="00F47E6D">
        <w:rPr>
          <w:rFonts w:cs="Arial"/>
        </w:rPr>
        <w:t xml:space="preserve"> (proposed, permitted, in construction or operating) as well as information about the wind farm</w:t>
      </w:r>
      <w:r w:rsidR="00CC505E">
        <w:rPr>
          <w:rFonts w:cs="Arial"/>
        </w:rPr>
        <w:t>’s design</w:t>
      </w:r>
      <w:r w:rsidRPr="00F47E6D">
        <w:rPr>
          <w:rFonts w:cs="Arial"/>
        </w:rPr>
        <w:t xml:space="preserve">, including number and size/rating of turbines and information about the proponent. </w:t>
      </w:r>
    </w:p>
    <w:p w14:paraId="7CD6097F" w14:textId="4A861DD4" w:rsidR="009A00AA" w:rsidRPr="00A627C1" w:rsidRDefault="00947ED2" w:rsidP="00A627C1">
      <w:pPr>
        <w:pStyle w:val="ListParagraph"/>
        <w:numPr>
          <w:ilvl w:val="2"/>
          <w:numId w:val="8"/>
        </w:numPr>
        <w:ind w:left="1400" w:hanging="680"/>
        <w:rPr>
          <w:rFonts w:cs="Arial"/>
        </w:rPr>
      </w:pPr>
      <w:r w:rsidRPr="00F47E6D">
        <w:rPr>
          <w:rFonts w:cs="Arial"/>
        </w:rPr>
        <w:lastRenderedPageBreak/>
        <w:t xml:space="preserve">State governments, in conjunction with appropriate Australian Government </w:t>
      </w:r>
      <w:r w:rsidR="00F63C36">
        <w:rPr>
          <w:rFonts w:cs="Arial"/>
        </w:rPr>
        <w:t xml:space="preserve">departments/agencies </w:t>
      </w:r>
      <w:r w:rsidR="00835451">
        <w:rPr>
          <w:rFonts w:cs="Arial"/>
        </w:rPr>
        <w:t>and</w:t>
      </w:r>
      <w:r w:rsidRPr="00F47E6D">
        <w:rPr>
          <w:rFonts w:cs="Arial"/>
        </w:rPr>
        <w:t xml:space="preserve"> the Australian Energy Market Operator</w:t>
      </w:r>
      <w:r w:rsidR="00F63C36">
        <w:rPr>
          <w:rFonts w:cs="Arial"/>
        </w:rPr>
        <w:t xml:space="preserve"> (AEMO)</w:t>
      </w:r>
      <w:r w:rsidRPr="00F47E6D">
        <w:rPr>
          <w:rFonts w:cs="Arial"/>
        </w:rPr>
        <w:t xml:space="preserve">, should review current and planned transmission infrastructure to ensure it is being developed in such a way that will optimally allow </w:t>
      </w:r>
      <w:r>
        <w:rPr>
          <w:rFonts w:cs="Arial"/>
        </w:rPr>
        <w:t xml:space="preserve">new large scale renewable </w:t>
      </w:r>
      <w:r w:rsidRPr="00F47E6D">
        <w:rPr>
          <w:rFonts w:cs="Arial"/>
        </w:rPr>
        <w:t xml:space="preserve">generation </w:t>
      </w:r>
      <w:r>
        <w:rPr>
          <w:rFonts w:cs="Arial"/>
        </w:rPr>
        <w:t xml:space="preserve">facilities to </w:t>
      </w:r>
      <w:r w:rsidRPr="00F47E6D">
        <w:rPr>
          <w:rFonts w:cs="Arial"/>
        </w:rPr>
        <w:t>be connected</w:t>
      </w:r>
      <w:r>
        <w:rPr>
          <w:rFonts w:cs="Arial"/>
        </w:rPr>
        <w:t xml:space="preserve"> in the most optimal locations for renewable resources</w:t>
      </w:r>
      <w:r w:rsidRPr="00F47E6D">
        <w:rPr>
          <w:rFonts w:cs="Arial"/>
        </w:rPr>
        <w:t xml:space="preserve">, ideally in locations </w:t>
      </w:r>
      <w:r>
        <w:rPr>
          <w:rFonts w:cs="Arial"/>
        </w:rPr>
        <w:t xml:space="preserve">further </w:t>
      </w:r>
      <w:r w:rsidRPr="00F47E6D">
        <w:rPr>
          <w:rFonts w:cs="Arial"/>
        </w:rPr>
        <w:t>away from more populated areas.</w:t>
      </w:r>
      <w:r w:rsidR="00835451">
        <w:rPr>
          <w:rFonts w:cs="Arial"/>
        </w:rPr>
        <w:t xml:space="preserve"> There may be scope for considering this during the development of the Australian Government’s Integrated System Plan.</w:t>
      </w:r>
    </w:p>
    <w:p w14:paraId="241E1726" w14:textId="77777777" w:rsidR="00947ED2" w:rsidRPr="00F47E6D" w:rsidRDefault="00947ED2" w:rsidP="00D35B01">
      <w:pPr>
        <w:pStyle w:val="ListParagraph"/>
        <w:numPr>
          <w:ilvl w:val="0"/>
          <w:numId w:val="8"/>
        </w:numPr>
        <w:rPr>
          <w:rFonts w:cs="Arial"/>
          <w:b/>
        </w:rPr>
      </w:pPr>
      <w:r w:rsidRPr="00F47E6D">
        <w:rPr>
          <w:rFonts w:cs="Arial"/>
          <w:b/>
        </w:rPr>
        <w:t>Health Matters</w:t>
      </w:r>
    </w:p>
    <w:p w14:paraId="316AE1A0" w14:textId="77777777" w:rsidR="00947ED2" w:rsidRPr="00F47E6D" w:rsidRDefault="00947ED2" w:rsidP="00D35B01">
      <w:pPr>
        <w:pStyle w:val="ListParagraph"/>
        <w:numPr>
          <w:ilvl w:val="1"/>
          <w:numId w:val="8"/>
        </w:numPr>
        <w:rPr>
          <w:rFonts w:cs="Arial"/>
          <w:b/>
        </w:rPr>
      </w:pPr>
      <w:r w:rsidRPr="00F47E6D">
        <w:rPr>
          <w:rFonts w:cs="Arial"/>
          <w:b/>
        </w:rPr>
        <w:t>Observations</w:t>
      </w:r>
    </w:p>
    <w:p w14:paraId="6C5E8247" w14:textId="77777777" w:rsidR="00947ED2" w:rsidRPr="00F47E6D" w:rsidRDefault="00947ED2" w:rsidP="00947ED2">
      <w:pPr>
        <w:pStyle w:val="ListParagraph"/>
        <w:numPr>
          <w:ilvl w:val="0"/>
          <w:numId w:val="0"/>
        </w:numPr>
        <w:ind w:left="360"/>
        <w:rPr>
          <w:rFonts w:cs="Arial"/>
        </w:rPr>
      </w:pPr>
      <w:r w:rsidRPr="00F47E6D">
        <w:rPr>
          <w:rFonts w:cs="Arial"/>
        </w:rPr>
        <w:t xml:space="preserve">Much has been </w:t>
      </w:r>
      <w:r>
        <w:rPr>
          <w:rFonts w:cs="Arial"/>
        </w:rPr>
        <w:t xml:space="preserve">and continues to be </w:t>
      </w:r>
      <w:r w:rsidRPr="00F47E6D">
        <w:rPr>
          <w:rFonts w:cs="Arial"/>
        </w:rPr>
        <w:t>written and researched on the topic of wind farms and health effects. Debate continues around the world as to whether a wind farm causes physiological harm to residents living in its vicinity.</w:t>
      </w:r>
    </w:p>
    <w:p w14:paraId="00B8BEC1" w14:textId="77777777" w:rsidR="00947ED2" w:rsidRPr="00F47E6D" w:rsidRDefault="00947ED2" w:rsidP="00947ED2">
      <w:pPr>
        <w:pStyle w:val="ListParagraph"/>
        <w:numPr>
          <w:ilvl w:val="0"/>
          <w:numId w:val="0"/>
        </w:numPr>
        <w:ind w:left="360"/>
        <w:rPr>
          <w:rFonts w:cs="Arial"/>
        </w:rPr>
      </w:pPr>
      <w:r w:rsidRPr="00F47E6D">
        <w:rPr>
          <w:rFonts w:cs="Arial"/>
        </w:rPr>
        <w:t>In 2016, the NHMRC announced the funding of two research studies into wind farms and health. One study is focused on the effects of wind farm noise on sleep and is led by Professor Peter Catcheside at Flinders University. The other study is focused on measuring the effects of infrasound and is led by Professor Guy Marks at the University of N</w:t>
      </w:r>
      <w:r>
        <w:rPr>
          <w:rFonts w:cs="Arial"/>
        </w:rPr>
        <w:t>ew South Wales</w:t>
      </w:r>
      <w:r w:rsidRPr="00F47E6D">
        <w:rPr>
          <w:rFonts w:cs="Arial"/>
        </w:rPr>
        <w:t>.</w:t>
      </w:r>
    </w:p>
    <w:p w14:paraId="4A7AA763" w14:textId="77777777" w:rsidR="00947ED2" w:rsidRPr="00F47E6D" w:rsidRDefault="00947ED2" w:rsidP="00947ED2">
      <w:pPr>
        <w:pStyle w:val="ListParagraph"/>
        <w:numPr>
          <w:ilvl w:val="0"/>
          <w:numId w:val="0"/>
        </w:numPr>
        <w:ind w:left="360"/>
        <w:rPr>
          <w:rFonts w:cs="Arial"/>
        </w:rPr>
      </w:pPr>
      <w:r w:rsidRPr="00F47E6D">
        <w:rPr>
          <w:rFonts w:cs="Arial"/>
        </w:rPr>
        <w:t xml:space="preserve">In addition, in late 2015, the </w:t>
      </w:r>
      <w:r>
        <w:rPr>
          <w:rFonts w:cs="Arial"/>
        </w:rPr>
        <w:t xml:space="preserve">Australian </w:t>
      </w:r>
      <w:r w:rsidRPr="00F47E6D">
        <w:rPr>
          <w:rFonts w:cs="Arial"/>
        </w:rPr>
        <w:t>Government established the I</w:t>
      </w:r>
      <w:r>
        <w:rPr>
          <w:rFonts w:cs="Arial"/>
        </w:rPr>
        <w:t>ndependent Scientific Committee on Wind Turbines (I</w:t>
      </w:r>
      <w:r w:rsidRPr="00F47E6D">
        <w:rPr>
          <w:rFonts w:cs="Arial"/>
        </w:rPr>
        <w:t>SCOWT</w:t>
      </w:r>
      <w:r>
        <w:rPr>
          <w:rFonts w:cs="Arial"/>
        </w:rPr>
        <w:t>)</w:t>
      </w:r>
      <w:r w:rsidRPr="00F47E6D">
        <w:rPr>
          <w:rFonts w:cs="Arial"/>
        </w:rPr>
        <w:t xml:space="preserve"> to provide advice on a range of matters including wind farm noise levels and the relationship to health effects.</w:t>
      </w:r>
    </w:p>
    <w:p w14:paraId="5E74606C" w14:textId="2A4626DB" w:rsidR="00947ED2" w:rsidRDefault="00947ED2" w:rsidP="00947ED2">
      <w:pPr>
        <w:pStyle w:val="ListParagraph"/>
        <w:numPr>
          <w:ilvl w:val="0"/>
          <w:numId w:val="0"/>
        </w:numPr>
        <w:ind w:left="360"/>
        <w:rPr>
          <w:rFonts w:cs="Arial"/>
        </w:rPr>
      </w:pPr>
      <w:r w:rsidRPr="00F47E6D">
        <w:rPr>
          <w:rFonts w:cs="Arial"/>
        </w:rPr>
        <w:t xml:space="preserve">A number of complaints about wind farms received by the </w:t>
      </w:r>
      <w:r>
        <w:rPr>
          <w:rFonts w:cs="Arial"/>
        </w:rPr>
        <w:t>O</w:t>
      </w:r>
      <w:r w:rsidRPr="00F47E6D">
        <w:rPr>
          <w:rFonts w:cs="Arial"/>
        </w:rPr>
        <w:t xml:space="preserve">ffice include references to health impacts as a result of </w:t>
      </w:r>
      <w:r>
        <w:rPr>
          <w:rFonts w:cs="Arial"/>
        </w:rPr>
        <w:t>w</w:t>
      </w:r>
      <w:r w:rsidRPr="00F47E6D">
        <w:rPr>
          <w:rFonts w:cs="Arial"/>
        </w:rPr>
        <w:t>ind farm operations. Health conditions cited in complaints include sleep disturbance, headaches, ear</w:t>
      </w:r>
      <w:r>
        <w:rPr>
          <w:rFonts w:cs="Arial"/>
        </w:rPr>
        <w:t>-</w:t>
      </w:r>
      <w:r w:rsidRPr="00F47E6D">
        <w:rPr>
          <w:rFonts w:cs="Arial"/>
        </w:rPr>
        <w:t>aches, ‘pounding’ in the ears, tinnitus, tachycardia, high blood pressure, sight impairment, diabetes, chest</w:t>
      </w:r>
      <w:r>
        <w:rPr>
          <w:rFonts w:cs="Arial"/>
        </w:rPr>
        <w:t>-</w:t>
      </w:r>
      <w:r w:rsidRPr="00F47E6D">
        <w:rPr>
          <w:rFonts w:cs="Arial"/>
        </w:rPr>
        <w:t>tightening</w:t>
      </w:r>
      <w:r>
        <w:rPr>
          <w:rFonts w:cs="Arial"/>
        </w:rPr>
        <w:t>, nausea</w:t>
      </w:r>
      <w:r w:rsidRPr="00F47E6D">
        <w:rPr>
          <w:rFonts w:cs="Arial"/>
        </w:rPr>
        <w:t xml:space="preserve"> and general fatigue. The complaints generally state that such conditions are caused by audible noise and low frequency noise, including infra</w:t>
      </w:r>
      <w:r>
        <w:rPr>
          <w:rFonts w:cs="Arial"/>
        </w:rPr>
        <w:t>sound, along with vibration sensations attributable to the operation of nearby turbines. In some cases, complaints have stated that some health conditions are persisting even when the turbines are not operating.</w:t>
      </w:r>
    </w:p>
    <w:p w14:paraId="31A40446" w14:textId="77777777" w:rsidR="00947ED2" w:rsidRDefault="00947ED2" w:rsidP="00947ED2">
      <w:pPr>
        <w:pStyle w:val="ListParagraph"/>
        <w:numPr>
          <w:ilvl w:val="0"/>
          <w:numId w:val="0"/>
        </w:numPr>
        <w:ind w:left="360"/>
        <w:rPr>
          <w:rFonts w:cs="Arial"/>
        </w:rPr>
      </w:pPr>
      <w:r>
        <w:rPr>
          <w:rFonts w:cs="Arial"/>
        </w:rPr>
        <w:t xml:space="preserve">Despite numerous invitations to complainants to provide evidence of their medical conditions, complaints regarding health concerns received by our Office have provided only anecdotal evidence regarding stated health issues and perceived causality. It has therefore been difficult </w:t>
      </w:r>
      <w:r w:rsidRPr="0030211E">
        <w:rPr>
          <w:rFonts w:cs="Arial"/>
        </w:rPr>
        <w:t xml:space="preserve">to confirm whether </w:t>
      </w:r>
      <w:r>
        <w:rPr>
          <w:rFonts w:cs="Arial"/>
        </w:rPr>
        <w:t xml:space="preserve">or not </w:t>
      </w:r>
      <w:r w:rsidRPr="0030211E">
        <w:rPr>
          <w:rFonts w:cs="Arial"/>
        </w:rPr>
        <w:t xml:space="preserve">the </w:t>
      </w:r>
      <w:r>
        <w:rPr>
          <w:rFonts w:cs="Arial"/>
        </w:rPr>
        <w:t xml:space="preserve">stated </w:t>
      </w:r>
      <w:r w:rsidRPr="0030211E">
        <w:rPr>
          <w:rFonts w:cs="Arial"/>
        </w:rPr>
        <w:t xml:space="preserve">health conditions </w:t>
      </w:r>
      <w:r>
        <w:rPr>
          <w:rFonts w:cs="Arial"/>
        </w:rPr>
        <w:t xml:space="preserve">reported by complainants are valid and, if they were valid, whether or not the health conditions </w:t>
      </w:r>
      <w:r w:rsidRPr="0030211E">
        <w:rPr>
          <w:rFonts w:cs="Arial"/>
        </w:rPr>
        <w:t xml:space="preserve">are </w:t>
      </w:r>
      <w:r>
        <w:rPr>
          <w:rFonts w:cs="Arial"/>
        </w:rPr>
        <w:t xml:space="preserve">possibly </w:t>
      </w:r>
      <w:r w:rsidRPr="0030211E">
        <w:rPr>
          <w:rFonts w:cs="Arial"/>
        </w:rPr>
        <w:t>a result of the wind farm’s operations or from some other cause</w:t>
      </w:r>
      <w:r>
        <w:rPr>
          <w:rFonts w:cs="Arial"/>
        </w:rPr>
        <w:t>.</w:t>
      </w:r>
    </w:p>
    <w:p w14:paraId="7C44C0A0" w14:textId="65AF7FE9" w:rsidR="00947ED2" w:rsidRPr="00AA5ADE" w:rsidRDefault="00947ED2" w:rsidP="00947ED2">
      <w:pPr>
        <w:pStyle w:val="ListParagraph"/>
        <w:numPr>
          <w:ilvl w:val="0"/>
          <w:numId w:val="0"/>
        </w:numPr>
        <w:ind w:left="360"/>
        <w:rPr>
          <w:rFonts w:cs="Arial"/>
        </w:rPr>
      </w:pPr>
      <w:r w:rsidRPr="00AA5ADE">
        <w:rPr>
          <w:rFonts w:cs="Arial"/>
        </w:rPr>
        <w:t xml:space="preserve">It is possible </w:t>
      </w:r>
      <w:r>
        <w:rPr>
          <w:rFonts w:cs="Arial"/>
        </w:rPr>
        <w:t xml:space="preserve">that </w:t>
      </w:r>
      <w:r w:rsidRPr="00AA5ADE">
        <w:rPr>
          <w:rFonts w:cs="Arial"/>
        </w:rPr>
        <w:t xml:space="preserve">stated health conditions </w:t>
      </w:r>
      <w:r>
        <w:rPr>
          <w:rFonts w:cs="Arial"/>
        </w:rPr>
        <w:t>may be cau</w:t>
      </w:r>
      <w:r w:rsidRPr="00AA5ADE">
        <w:rPr>
          <w:rFonts w:cs="Arial"/>
        </w:rPr>
        <w:t xml:space="preserve">sed by </w:t>
      </w:r>
      <w:r>
        <w:rPr>
          <w:rFonts w:cs="Arial"/>
        </w:rPr>
        <w:t xml:space="preserve">other known causes </w:t>
      </w:r>
      <w:r w:rsidRPr="00AA5ADE">
        <w:rPr>
          <w:rFonts w:cs="Arial"/>
        </w:rPr>
        <w:t xml:space="preserve">not related to the wind farm’s operations. Of concern is the potential situation whereby a resident may fail to </w:t>
      </w:r>
      <w:r>
        <w:rPr>
          <w:rFonts w:cs="Arial"/>
        </w:rPr>
        <w:t xml:space="preserve">seek and </w:t>
      </w:r>
      <w:r w:rsidRPr="00AA5ADE">
        <w:rPr>
          <w:rFonts w:cs="Arial"/>
        </w:rPr>
        <w:t xml:space="preserve">obtain </w:t>
      </w:r>
      <w:r>
        <w:rPr>
          <w:rFonts w:cs="Arial"/>
        </w:rPr>
        <w:t xml:space="preserve">appropriate </w:t>
      </w:r>
      <w:r w:rsidRPr="00AA5ADE">
        <w:rPr>
          <w:rFonts w:cs="Arial"/>
        </w:rPr>
        <w:t xml:space="preserve">medical advice </w:t>
      </w:r>
      <w:r>
        <w:rPr>
          <w:rFonts w:cs="Arial"/>
        </w:rPr>
        <w:t xml:space="preserve">and treatment </w:t>
      </w:r>
      <w:r w:rsidRPr="00AA5ADE">
        <w:rPr>
          <w:rFonts w:cs="Arial"/>
        </w:rPr>
        <w:t xml:space="preserve">for a treatable </w:t>
      </w:r>
      <w:r>
        <w:rPr>
          <w:rFonts w:cs="Arial"/>
        </w:rPr>
        <w:t xml:space="preserve">health </w:t>
      </w:r>
      <w:r w:rsidRPr="00AA5ADE">
        <w:rPr>
          <w:rFonts w:cs="Arial"/>
        </w:rPr>
        <w:t>condition</w:t>
      </w:r>
      <w:r>
        <w:rPr>
          <w:rFonts w:cs="Arial"/>
        </w:rPr>
        <w:t xml:space="preserve"> due to the possibly incorrect assumption </w:t>
      </w:r>
      <w:r w:rsidRPr="00AA5ADE">
        <w:rPr>
          <w:rFonts w:cs="Arial"/>
        </w:rPr>
        <w:t xml:space="preserve">that an operating wind farm is </w:t>
      </w:r>
      <w:r>
        <w:rPr>
          <w:rFonts w:cs="Arial"/>
        </w:rPr>
        <w:t xml:space="preserve">perceived as </w:t>
      </w:r>
      <w:r w:rsidRPr="00AA5ADE">
        <w:rPr>
          <w:rFonts w:cs="Arial"/>
        </w:rPr>
        <w:t xml:space="preserve">the cause of the </w:t>
      </w:r>
      <w:r>
        <w:rPr>
          <w:rFonts w:cs="Arial"/>
        </w:rPr>
        <w:t>health c</w:t>
      </w:r>
      <w:r w:rsidRPr="00AA5ADE">
        <w:rPr>
          <w:rFonts w:cs="Arial"/>
        </w:rPr>
        <w:t>ondition.</w:t>
      </w:r>
      <w:r>
        <w:rPr>
          <w:rFonts w:cs="Arial"/>
        </w:rPr>
        <w:t xml:space="preserve"> For example, if a resident is experiencing sleep difficulties, they may be advised </w:t>
      </w:r>
      <w:r w:rsidR="007E1923">
        <w:rPr>
          <w:rFonts w:cs="Arial"/>
        </w:rPr>
        <w:t xml:space="preserve">by their General Practitioner </w:t>
      </w:r>
      <w:r>
        <w:rPr>
          <w:rFonts w:cs="Arial"/>
        </w:rPr>
        <w:t>to attend to a sleep specialist for a proper diagnosis of the root cause and advice on treatment to remedy the condition.</w:t>
      </w:r>
    </w:p>
    <w:p w14:paraId="749EBA1A" w14:textId="77777777" w:rsidR="00947ED2" w:rsidRPr="003F767D" w:rsidRDefault="00947ED2" w:rsidP="00947ED2">
      <w:pPr>
        <w:pStyle w:val="ListParagraph"/>
        <w:numPr>
          <w:ilvl w:val="0"/>
          <w:numId w:val="0"/>
        </w:numPr>
        <w:ind w:left="360"/>
        <w:rPr>
          <w:rFonts w:cs="Arial"/>
        </w:rPr>
      </w:pPr>
      <w:r w:rsidRPr="003F767D">
        <w:rPr>
          <w:rFonts w:cs="Arial"/>
        </w:rPr>
        <w:t xml:space="preserve">Health conditions may also </w:t>
      </w:r>
      <w:r>
        <w:rPr>
          <w:rFonts w:cs="Arial"/>
        </w:rPr>
        <w:t xml:space="preserve">arise as </w:t>
      </w:r>
      <w:r w:rsidRPr="003F767D">
        <w:rPr>
          <w:rFonts w:cs="Arial"/>
        </w:rPr>
        <w:t>a result of stress, annoyance or anxie</w:t>
      </w:r>
      <w:r>
        <w:rPr>
          <w:rFonts w:cs="Arial"/>
        </w:rPr>
        <w:t xml:space="preserve">ty related to the presence of an operating </w:t>
      </w:r>
      <w:r w:rsidRPr="003F767D">
        <w:rPr>
          <w:rFonts w:cs="Arial"/>
        </w:rPr>
        <w:t>wind farm</w:t>
      </w:r>
      <w:r>
        <w:rPr>
          <w:rFonts w:cs="Arial"/>
        </w:rPr>
        <w:t xml:space="preserve"> or concerns about the effects of a proposed wind farm. Further, uncertainties in relation to whether a proposed wind farm will actually proceed (a period which may extend for several years) may also contribute to stress and anxiety. Again, affected residents may need to seek </w:t>
      </w:r>
      <w:r w:rsidRPr="003F767D">
        <w:rPr>
          <w:rFonts w:cs="Arial"/>
        </w:rPr>
        <w:t xml:space="preserve">appropriate </w:t>
      </w:r>
      <w:r>
        <w:rPr>
          <w:rFonts w:cs="Arial"/>
        </w:rPr>
        <w:t xml:space="preserve">medical </w:t>
      </w:r>
      <w:r w:rsidRPr="003F767D">
        <w:rPr>
          <w:rFonts w:cs="Arial"/>
        </w:rPr>
        <w:t xml:space="preserve">treatment </w:t>
      </w:r>
      <w:r>
        <w:rPr>
          <w:rFonts w:cs="Arial"/>
        </w:rPr>
        <w:t>for these ancillary health conditions as well as seek ways to resolve their concerns.</w:t>
      </w:r>
    </w:p>
    <w:p w14:paraId="3A374AF1" w14:textId="526D6618" w:rsidR="009A00AA" w:rsidRPr="00657BCC" w:rsidRDefault="00947ED2" w:rsidP="00657BCC">
      <w:pPr>
        <w:pStyle w:val="ListParagraph"/>
        <w:numPr>
          <w:ilvl w:val="0"/>
          <w:numId w:val="0"/>
        </w:numPr>
        <w:ind w:left="360"/>
        <w:rPr>
          <w:rFonts w:cs="Arial"/>
        </w:rPr>
      </w:pPr>
      <w:r w:rsidRPr="00F47E6D">
        <w:rPr>
          <w:rFonts w:cs="Arial"/>
        </w:rPr>
        <w:lastRenderedPageBreak/>
        <w:t xml:space="preserve">The </w:t>
      </w:r>
      <w:r>
        <w:rPr>
          <w:rFonts w:cs="Arial"/>
        </w:rPr>
        <w:t>O</w:t>
      </w:r>
      <w:r w:rsidRPr="00F47E6D">
        <w:rPr>
          <w:rFonts w:cs="Arial"/>
        </w:rPr>
        <w:t xml:space="preserve">ffice will continue to monitor </w:t>
      </w:r>
      <w:r w:rsidR="00CC505E">
        <w:rPr>
          <w:rFonts w:cs="Arial"/>
        </w:rPr>
        <w:t xml:space="preserve">relevant decisions that explore evidence about wind farms and health, such as the recent </w:t>
      </w:r>
      <w:r w:rsidR="00F2127B">
        <w:rPr>
          <w:rFonts w:cs="Arial"/>
        </w:rPr>
        <w:t>Ad</w:t>
      </w:r>
      <w:r w:rsidR="00F2127B" w:rsidRPr="00F2127B">
        <w:rPr>
          <w:rFonts w:cs="Arial"/>
        </w:rPr>
        <w:t xml:space="preserve">ministrative Appeals Tribunal </w:t>
      </w:r>
      <w:r w:rsidR="00CC505E" w:rsidRPr="00F2127B">
        <w:rPr>
          <w:rFonts w:cs="Arial"/>
        </w:rPr>
        <w:t xml:space="preserve">decision </w:t>
      </w:r>
      <w:r w:rsidR="00F2127B" w:rsidRPr="00F2127B">
        <w:rPr>
          <w:rFonts w:cs="Arial"/>
          <w:i/>
        </w:rPr>
        <w:t xml:space="preserve">Waubra Foundation v Australian Charities and Not-for-profits Commission </w:t>
      </w:r>
      <w:r w:rsidR="00CC505E" w:rsidRPr="00F2127B">
        <w:rPr>
          <w:rFonts w:cs="Arial"/>
        </w:rPr>
        <w:t xml:space="preserve">and the appeal decision </w:t>
      </w:r>
      <w:r w:rsidR="00CC505E">
        <w:rPr>
          <w:rFonts w:cs="Arial"/>
        </w:rPr>
        <w:t>regarding the proposed Palmer wind farm</w:t>
      </w:r>
      <w:r w:rsidR="00F2127B" w:rsidRPr="00F2127B">
        <w:rPr>
          <w:rFonts w:cs="Arial"/>
        </w:rPr>
        <w:t xml:space="preserve"> </w:t>
      </w:r>
      <w:r w:rsidR="00F2127B">
        <w:rPr>
          <w:rFonts w:cs="Arial"/>
        </w:rPr>
        <w:t xml:space="preserve">in the </w:t>
      </w:r>
      <w:r w:rsidR="00F2127B" w:rsidRPr="00F2127B">
        <w:rPr>
          <w:rFonts w:cs="Arial"/>
        </w:rPr>
        <w:t xml:space="preserve">South Australian </w:t>
      </w:r>
      <w:r w:rsidR="00F2127B" w:rsidRPr="00F2127B">
        <w:rPr>
          <w:rStyle w:val="st1"/>
          <w:rFonts w:cs="Arial"/>
        </w:rPr>
        <w:t xml:space="preserve">Environment, Resources and Development </w:t>
      </w:r>
      <w:r w:rsidR="00F2127B" w:rsidRPr="00F2127B">
        <w:rPr>
          <w:rStyle w:val="Emphasis"/>
          <w:i w:val="0"/>
        </w:rPr>
        <w:t>Court</w:t>
      </w:r>
      <w:r w:rsidR="00CC505E">
        <w:rPr>
          <w:rFonts w:cs="Arial"/>
        </w:rPr>
        <w:t xml:space="preserve">. The Office will also monitor and continue engagement regarding </w:t>
      </w:r>
      <w:r w:rsidRPr="00F47E6D">
        <w:rPr>
          <w:rFonts w:cs="Arial"/>
        </w:rPr>
        <w:t xml:space="preserve">any results of the NHMRC </w:t>
      </w:r>
      <w:r w:rsidR="00CC505E">
        <w:rPr>
          <w:rFonts w:cs="Arial"/>
        </w:rPr>
        <w:t xml:space="preserve">funded </w:t>
      </w:r>
      <w:r w:rsidRPr="00F47E6D">
        <w:rPr>
          <w:rFonts w:cs="Arial"/>
        </w:rPr>
        <w:t>studies and the wo</w:t>
      </w:r>
      <w:r>
        <w:rPr>
          <w:rFonts w:cs="Arial"/>
        </w:rPr>
        <w:t>rk of the ISCOWT</w:t>
      </w:r>
      <w:r w:rsidR="00CC505E">
        <w:rPr>
          <w:rFonts w:cs="Arial"/>
        </w:rPr>
        <w:t>, as well as</w:t>
      </w:r>
      <w:r>
        <w:rPr>
          <w:rFonts w:cs="Arial"/>
        </w:rPr>
        <w:t xml:space="preserve"> assessing any </w:t>
      </w:r>
      <w:r w:rsidRPr="00F47E6D">
        <w:rPr>
          <w:rFonts w:cs="Arial"/>
        </w:rPr>
        <w:t>further evidence gathered through complaint handling activities.</w:t>
      </w:r>
    </w:p>
    <w:p w14:paraId="73DD9F3A" w14:textId="77777777" w:rsidR="00947ED2" w:rsidRPr="00F47E6D" w:rsidRDefault="00947ED2" w:rsidP="00D35B01">
      <w:pPr>
        <w:pStyle w:val="ListParagraph"/>
        <w:numPr>
          <w:ilvl w:val="1"/>
          <w:numId w:val="8"/>
        </w:numPr>
        <w:rPr>
          <w:rFonts w:cs="Arial"/>
          <w:b/>
        </w:rPr>
      </w:pPr>
      <w:r w:rsidRPr="00F47E6D">
        <w:rPr>
          <w:rFonts w:cs="Arial"/>
          <w:b/>
        </w:rPr>
        <w:t>Recommendations</w:t>
      </w:r>
    </w:p>
    <w:p w14:paraId="18326E82" w14:textId="77777777" w:rsidR="00947ED2" w:rsidRPr="00F47E6D" w:rsidRDefault="00947ED2" w:rsidP="00D35B01">
      <w:pPr>
        <w:pStyle w:val="ListParagraph"/>
        <w:numPr>
          <w:ilvl w:val="2"/>
          <w:numId w:val="8"/>
        </w:numPr>
        <w:ind w:left="1400" w:hanging="680"/>
        <w:rPr>
          <w:rFonts w:cs="Arial"/>
        </w:rPr>
      </w:pPr>
      <w:r w:rsidRPr="00F47E6D">
        <w:rPr>
          <w:rFonts w:cs="Arial"/>
        </w:rPr>
        <w:t>Federal and state governments should continue to assess the outcomes of research into wind farms and health, including outcomes of the two NHMRC funded wind farm health studies and recommendations of the ISCOWT. Environmental standards</w:t>
      </w:r>
      <w:r>
        <w:rPr>
          <w:rFonts w:cs="Arial"/>
        </w:rPr>
        <w:t xml:space="preserve">, such as noise standards, </w:t>
      </w:r>
      <w:r w:rsidRPr="00F47E6D">
        <w:rPr>
          <w:rFonts w:cs="Arial"/>
        </w:rPr>
        <w:t>should be monitored and reviewed in line with any recommendations arising from these programs.</w:t>
      </w:r>
    </w:p>
    <w:p w14:paraId="61C61D35" w14:textId="188BF7DC" w:rsidR="00947ED2" w:rsidRPr="00F47E6D" w:rsidRDefault="00947ED2" w:rsidP="00D35B01">
      <w:pPr>
        <w:pStyle w:val="ListParagraph"/>
        <w:numPr>
          <w:ilvl w:val="2"/>
          <w:numId w:val="8"/>
        </w:numPr>
        <w:ind w:left="1400" w:hanging="680"/>
        <w:rPr>
          <w:rFonts w:cs="Arial"/>
        </w:rPr>
      </w:pPr>
      <w:r w:rsidRPr="00F47E6D">
        <w:rPr>
          <w:rFonts w:cs="Arial"/>
        </w:rPr>
        <w:t>Residents living in the vicinity of a</w:t>
      </w:r>
      <w:r>
        <w:rPr>
          <w:rFonts w:cs="Arial"/>
        </w:rPr>
        <w:t xml:space="preserve">n operating or proposed </w:t>
      </w:r>
      <w:r w:rsidRPr="00F47E6D">
        <w:rPr>
          <w:rFonts w:cs="Arial"/>
        </w:rPr>
        <w:t xml:space="preserve">wind farm </w:t>
      </w:r>
      <w:r>
        <w:rPr>
          <w:rFonts w:cs="Arial"/>
        </w:rPr>
        <w:t xml:space="preserve">that are </w:t>
      </w:r>
      <w:r w:rsidRPr="00F47E6D">
        <w:rPr>
          <w:rFonts w:cs="Arial"/>
        </w:rPr>
        <w:t>experiencing health conditions should be encouraged to seek appropriate medical advice to properl</w:t>
      </w:r>
      <w:r>
        <w:rPr>
          <w:rFonts w:cs="Arial"/>
        </w:rPr>
        <w:t>y diagnose and treat any health</w:t>
      </w:r>
      <w:r>
        <w:rPr>
          <w:rFonts w:cs="Arial"/>
        </w:rPr>
        <w:noBreakHyphen/>
      </w:r>
      <w:r w:rsidRPr="00F47E6D">
        <w:rPr>
          <w:rFonts w:cs="Arial"/>
        </w:rPr>
        <w:t>related conditions accordingly.</w:t>
      </w:r>
      <w:r>
        <w:rPr>
          <w:rFonts w:cs="Arial"/>
        </w:rPr>
        <w:t xml:space="preserve"> General practitioners receiving patients from wind farm locations should maintain an awareness of wind farm and health matters through bodies such as the Australian Medical Association and assist patients in understanding the need for appropriate testing</w:t>
      </w:r>
      <w:r w:rsidR="007E1923">
        <w:rPr>
          <w:rFonts w:cs="Arial"/>
        </w:rPr>
        <w:t xml:space="preserve">, </w:t>
      </w:r>
      <w:r>
        <w:rPr>
          <w:rFonts w:cs="Arial"/>
        </w:rPr>
        <w:t xml:space="preserve">diagnosis </w:t>
      </w:r>
      <w:r w:rsidR="007E1923">
        <w:rPr>
          <w:rFonts w:cs="Arial"/>
        </w:rPr>
        <w:t xml:space="preserve">and remedies for </w:t>
      </w:r>
      <w:r>
        <w:rPr>
          <w:rFonts w:cs="Arial"/>
        </w:rPr>
        <w:t>the presented health conditions</w:t>
      </w:r>
      <w:r w:rsidR="007E1923">
        <w:rPr>
          <w:rFonts w:cs="Arial"/>
        </w:rPr>
        <w:t xml:space="preserve"> or concerns</w:t>
      </w:r>
      <w:r>
        <w:rPr>
          <w:rFonts w:cs="Arial"/>
        </w:rPr>
        <w:t xml:space="preserve">. </w:t>
      </w:r>
    </w:p>
    <w:p w14:paraId="085B6C00" w14:textId="77777777" w:rsidR="00947ED2" w:rsidRPr="00F47E6D" w:rsidRDefault="00947ED2" w:rsidP="00D35B01">
      <w:pPr>
        <w:pStyle w:val="ListParagraph"/>
        <w:numPr>
          <w:ilvl w:val="2"/>
          <w:numId w:val="8"/>
        </w:numPr>
        <w:ind w:left="1400" w:hanging="680"/>
        <w:rPr>
          <w:rFonts w:cs="Arial"/>
        </w:rPr>
      </w:pPr>
      <w:r w:rsidRPr="00F47E6D">
        <w:rPr>
          <w:rFonts w:cs="Arial"/>
        </w:rPr>
        <w:t xml:space="preserve">Medical practitioners who identify </w:t>
      </w:r>
      <w:r>
        <w:rPr>
          <w:rFonts w:cs="Arial"/>
        </w:rPr>
        <w:t xml:space="preserve">potential </w:t>
      </w:r>
      <w:r w:rsidRPr="00F47E6D">
        <w:rPr>
          <w:rFonts w:cs="Arial"/>
        </w:rPr>
        <w:t>causational links between a patient’s health condition and their proximity to the operation of a wind farm should report such incidences in an appropriate way to the relevant professional body, association and/or government agency.</w:t>
      </w:r>
    </w:p>
    <w:p w14:paraId="49F284E7" w14:textId="1FC28D5C" w:rsidR="00657BCC" w:rsidRPr="006464A3" w:rsidRDefault="00947ED2" w:rsidP="00A627C1">
      <w:pPr>
        <w:pStyle w:val="ListParagraph"/>
        <w:numPr>
          <w:ilvl w:val="2"/>
          <w:numId w:val="8"/>
        </w:numPr>
        <w:ind w:left="1400" w:hanging="680"/>
      </w:pPr>
      <w:r w:rsidRPr="005B385A">
        <w:rPr>
          <w:rFonts w:cs="Arial"/>
        </w:rPr>
        <w:t>Residents who are experiencing unacceptable noise levels from a wind farm should be encouraged to report such incidents to the wind farm operator, the compliance authority a</w:t>
      </w:r>
      <w:r>
        <w:rPr>
          <w:rFonts w:cs="Arial"/>
        </w:rPr>
        <w:t xml:space="preserve">nd/or the appropriate regulator to initiate </w:t>
      </w:r>
      <w:r w:rsidR="007E1923">
        <w:rPr>
          <w:rFonts w:cs="Arial"/>
        </w:rPr>
        <w:t xml:space="preserve">the </w:t>
      </w:r>
      <w:r>
        <w:rPr>
          <w:rFonts w:cs="Arial"/>
        </w:rPr>
        <w:t xml:space="preserve">appropriate investigation and resolution of the </w:t>
      </w:r>
      <w:r w:rsidR="007E1923">
        <w:rPr>
          <w:rFonts w:cs="Arial"/>
        </w:rPr>
        <w:t xml:space="preserve">noise </w:t>
      </w:r>
      <w:r>
        <w:rPr>
          <w:rFonts w:cs="Arial"/>
        </w:rPr>
        <w:t>incidents.</w:t>
      </w:r>
    </w:p>
    <w:p w14:paraId="4979FFB9" w14:textId="3B3F48A8" w:rsidR="006464A3" w:rsidRPr="00F47E6D" w:rsidRDefault="006464A3" w:rsidP="00D35B01">
      <w:pPr>
        <w:pStyle w:val="ListParagraph"/>
        <w:numPr>
          <w:ilvl w:val="0"/>
          <w:numId w:val="8"/>
        </w:numPr>
        <w:rPr>
          <w:rFonts w:cs="Arial"/>
          <w:b/>
        </w:rPr>
      </w:pPr>
      <w:r>
        <w:rPr>
          <w:rFonts w:cs="Arial"/>
          <w:b/>
        </w:rPr>
        <w:t>Reforms and Initiatives</w:t>
      </w:r>
    </w:p>
    <w:p w14:paraId="6B6F0260" w14:textId="58B22326" w:rsidR="006464A3" w:rsidRDefault="00425201" w:rsidP="00425201">
      <w:pPr>
        <w:rPr>
          <w:rStyle w:val="gmail-s2"/>
          <w:rFonts w:cs="Arial"/>
        </w:rPr>
      </w:pPr>
      <w:r w:rsidRPr="00425201">
        <w:rPr>
          <w:rFonts w:cs="Arial"/>
        </w:rPr>
        <w:t xml:space="preserve">With regard to promoting and adopting best practices, </w:t>
      </w:r>
      <w:r w:rsidR="00A627C1">
        <w:rPr>
          <w:rFonts w:cs="Arial"/>
        </w:rPr>
        <w:t>the</w:t>
      </w:r>
      <w:r w:rsidRPr="00425201">
        <w:rPr>
          <w:rFonts w:cs="Arial"/>
        </w:rPr>
        <w:t xml:space="preserve"> Office </w:t>
      </w:r>
      <w:r w:rsidRPr="00425201">
        <w:rPr>
          <w:rStyle w:val="gmail-s1"/>
          <w:rFonts w:cs="Arial"/>
        </w:rPr>
        <w:t>has continued to focus on a range of improvements and reforms within the industry</w:t>
      </w:r>
      <w:r w:rsidRPr="00425201">
        <w:rPr>
          <w:rStyle w:val="gmail-s2"/>
          <w:rFonts w:cs="Arial"/>
        </w:rPr>
        <w:t xml:space="preserve">. </w:t>
      </w:r>
      <w:r>
        <w:rPr>
          <w:rFonts w:cs="Arial"/>
        </w:rPr>
        <w:t>As discussed in the report, w</w:t>
      </w:r>
      <w:r w:rsidRPr="00425201">
        <w:rPr>
          <w:rFonts w:cs="Arial"/>
        </w:rPr>
        <w:t xml:space="preserve">e have built effective relationships with community </w:t>
      </w:r>
      <w:r w:rsidR="007E1923">
        <w:rPr>
          <w:rFonts w:cs="Arial"/>
        </w:rPr>
        <w:t xml:space="preserve">and </w:t>
      </w:r>
      <w:r w:rsidRPr="00425201">
        <w:rPr>
          <w:rFonts w:cs="Arial"/>
        </w:rPr>
        <w:t xml:space="preserve">industry </w:t>
      </w:r>
      <w:r w:rsidR="007E1923">
        <w:rPr>
          <w:rFonts w:cs="Arial"/>
        </w:rPr>
        <w:t xml:space="preserve">members </w:t>
      </w:r>
      <w:r w:rsidRPr="00425201">
        <w:rPr>
          <w:rFonts w:cs="Arial"/>
        </w:rPr>
        <w:t xml:space="preserve">as well as federal and state government agencies to facilitate consideration of a number of practical reforms. </w:t>
      </w:r>
      <w:r w:rsidRPr="00425201">
        <w:rPr>
          <w:rStyle w:val="gmail-s2"/>
          <w:rFonts w:cs="Arial"/>
        </w:rPr>
        <w:t xml:space="preserve">Some of the </w:t>
      </w:r>
      <w:r w:rsidR="007E1923">
        <w:rPr>
          <w:rStyle w:val="gmail-s2"/>
          <w:rFonts w:cs="Arial"/>
        </w:rPr>
        <w:t xml:space="preserve">reform </w:t>
      </w:r>
      <w:r w:rsidRPr="00425201">
        <w:rPr>
          <w:rStyle w:val="gmail-s2"/>
          <w:rFonts w:cs="Arial"/>
        </w:rPr>
        <w:t xml:space="preserve">initiatives </w:t>
      </w:r>
      <w:r w:rsidR="007E1923">
        <w:rPr>
          <w:rStyle w:val="gmail-s2"/>
          <w:rFonts w:cs="Arial"/>
        </w:rPr>
        <w:t xml:space="preserve">the Office is </w:t>
      </w:r>
      <w:r w:rsidRPr="00425201">
        <w:rPr>
          <w:rStyle w:val="gmail-s2"/>
          <w:rFonts w:cs="Arial"/>
        </w:rPr>
        <w:t>engaged in include</w:t>
      </w:r>
      <w:r>
        <w:rPr>
          <w:rStyle w:val="gmail-s2"/>
          <w:rFonts w:cs="Arial"/>
        </w:rPr>
        <w:t>:</w:t>
      </w:r>
    </w:p>
    <w:p w14:paraId="2EB9852A" w14:textId="77777777" w:rsidR="00425201" w:rsidRPr="00173E3C" w:rsidRDefault="00425201" w:rsidP="00425201">
      <w:pPr>
        <w:rPr>
          <w:b/>
        </w:rPr>
      </w:pPr>
      <w:r w:rsidRPr="00173E3C">
        <w:rPr>
          <w:rFonts w:cs="Arial"/>
          <w:b/>
          <w:i/>
          <w:iCs/>
        </w:rPr>
        <w:t>Community related:</w:t>
      </w:r>
    </w:p>
    <w:p w14:paraId="1E367B6B" w14:textId="0A03F340" w:rsidR="00425201" w:rsidRPr="00425201" w:rsidRDefault="00091D95" w:rsidP="00F2127B">
      <w:pPr>
        <w:numPr>
          <w:ilvl w:val="0"/>
          <w:numId w:val="35"/>
        </w:numPr>
        <w:spacing w:line="264" w:lineRule="auto"/>
        <w:ind w:left="1418" w:hanging="709"/>
        <w:rPr>
          <w:rFonts w:cs="Arial"/>
        </w:rPr>
      </w:pPr>
      <w:r>
        <w:rPr>
          <w:rFonts w:cs="Arial"/>
        </w:rPr>
        <w:t>Develop</w:t>
      </w:r>
      <w:r w:rsidR="00425201" w:rsidRPr="00425201">
        <w:rPr>
          <w:rFonts w:cs="Arial"/>
        </w:rPr>
        <w:t xml:space="preserve"> guidance on matters to consider when entering into a neighbour or host landholder agreement</w:t>
      </w:r>
      <w:r w:rsidR="005E01FD">
        <w:rPr>
          <w:rFonts w:cs="Arial"/>
        </w:rPr>
        <w:t>.</w:t>
      </w:r>
    </w:p>
    <w:p w14:paraId="2B298593" w14:textId="53BEB543" w:rsidR="00425201" w:rsidRPr="00425201" w:rsidRDefault="00091D95" w:rsidP="00F2127B">
      <w:pPr>
        <w:numPr>
          <w:ilvl w:val="0"/>
          <w:numId w:val="35"/>
        </w:numPr>
        <w:spacing w:line="264" w:lineRule="auto"/>
        <w:ind w:left="1418" w:hanging="709"/>
        <w:rPr>
          <w:rFonts w:cs="Arial"/>
        </w:rPr>
      </w:pPr>
      <w:r>
        <w:rPr>
          <w:rFonts w:cs="Arial"/>
        </w:rPr>
        <w:t>Develop</w:t>
      </w:r>
      <w:r w:rsidR="00425201" w:rsidRPr="00425201">
        <w:rPr>
          <w:rFonts w:cs="Arial"/>
        </w:rPr>
        <w:t xml:space="preserve"> guidance on matters to consider regarding wind farms when purchasing rural property</w:t>
      </w:r>
      <w:r w:rsidR="005E01FD">
        <w:rPr>
          <w:rFonts w:cs="Arial"/>
        </w:rPr>
        <w:t>.</w:t>
      </w:r>
    </w:p>
    <w:p w14:paraId="72F619BD" w14:textId="703AA023" w:rsidR="00425201" w:rsidRPr="00425201" w:rsidRDefault="00091D95" w:rsidP="00F2127B">
      <w:pPr>
        <w:numPr>
          <w:ilvl w:val="0"/>
          <w:numId w:val="35"/>
        </w:numPr>
        <w:spacing w:line="264" w:lineRule="auto"/>
        <w:ind w:left="1418" w:hanging="709"/>
        <w:rPr>
          <w:rFonts w:cs="Arial"/>
        </w:rPr>
      </w:pPr>
      <w:r>
        <w:rPr>
          <w:rFonts w:cs="Arial"/>
        </w:rPr>
        <w:t>Promote</w:t>
      </w:r>
      <w:r w:rsidR="00425201" w:rsidRPr="00425201">
        <w:rPr>
          <w:rFonts w:cs="Arial"/>
        </w:rPr>
        <w:t xml:space="preserve"> transparency, skills and effective processes in handling complaints about wind farm</w:t>
      </w:r>
      <w:r w:rsidR="005E01FD">
        <w:rPr>
          <w:rFonts w:cs="Arial"/>
        </w:rPr>
        <w:t xml:space="preserve"> project</w:t>
      </w:r>
      <w:r w:rsidR="00425201" w:rsidRPr="00425201">
        <w:rPr>
          <w:rFonts w:cs="Arial"/>
        </w:rPr>
        <w:t>s</w:t>
      </w:r>
      <w:r w:rsidR="005E01FD">
        <w:rPr>
          <w:rFonts w:cs="Arial"/>
        </w:rPr>
        <w:t>.</w:t>
      </w:r>
    </w:p>
    <w:p w14:paraId="6646507C" w14:textId="6C03F0ED" w:rsidR="00425201" w:rsidRPr="00425201" w:rsidRDefault="00091D95" w:rsidP="00F2127B">
      <w:pPr>
        <w:pStyle w:val="gmail-p1"/>
        <w:numPr>
          <w:ilvl w:val="0"/>
          <w:numId w:val="35"/>
        </w:numPr>
        <w:spacing w:before="0" w:beforeAutospacing="0" w:after="200" w:afterAutospacing="0" w:line="264" w:lineRule="auto"/>
        <w:ind w:left="1418" w:hanging="709"/>
        <w:rPr>
          <w:rStyle w:val="gmail-s1"/>
          <w:rFonts w:ascii="Arial" w:hAnsi="Arial" w:cs="Arial"/>
          <w:sz w:val="22"/>
          <w:szCs w:val="22"/>
        </w:rPr>
      </w:pPr>
      <w:r>
        <w:rPr>
          <w:rStyle w:val="gmail-s1"/>
          <w:rFonts w:ascii="Arial" w:hAnsi="Arial" w:cs="Arial"/>
          <w:sz w:val="22"/>
          <w:szCs w:val="22"/>
        </w:rPr>
        <w:t>Provide</w:t>
      </w:r>
      <w:r w:rsidR="00425201" w:rsidRPr="00425201">
        <w:rPr>
          <w:rStyle w:val="gmail-s1"/>
          <w:rFonts w:ascii="Arial" w:hAnsi="Arial" w:cs="Arial"/>
          <w:sz w:val="22"/>
          <w:szCs w:val="22"/>
        </w:rPr>
        <w:t xml:space="preserve"> insights to the Australian Medical Association that may assist medical practitioners when consulting with patients living in proximity to a wind farm.</w:t>
      </w:r>
    </w:p>
    <w:p w14:paraId="143F1119" w14:textId="11409F60" w:rsidR="00D51205" w:rsidRPr="00657BCC" w:rsidRDefault="007E1923" w:rsidP="00657BCC">
      <w:pPr>
        <w:pStyle w:val="gmail-p1"/>
        <w:numPr>
          <w:ilvl w:val="0"/>
          <w:numId w:val="35"/>
        </w:numPr>
        <w:spacing w:before="0" w:beforeAutospacing="0" w:after="200" w:afterAutospacing="0" w:line="264" w:lineRule="auto"/>
        <w:ind w:left="1418" w:hanging="709"/>
        <w:rPr>
          <w:rFonts w:ascii="Arial" w:hAnsi="Arial" w:cs="Arial"/>
          <w:sz w:val="22"/>
          <w:szCs w:val="22"/>
        </w:rPr>
      </w:pPr>
      <w:r>
        <w:rPr>
          <w:rFonts w:ascii="Arial" w:hAnsi="Arial" w:cs="Arial"/>
          <w:sz w:val="22"/>
          <w:szCs w:val="22"/>
        </w:rPr>
        <w:lastRenderedPageBreak/>
        <w:t>Cl</w:t>
      </w:r>
      <w:r w:rsidR="00091D95">
        <w:rPr>
          <w:rFonts w:ascii="Arial" w:hAnsi="Arial" w:cs="Arial"/>
          <w:sz w:val="22"/>
          <w:szCs w:val="22"/>
        </w:rPr>
        <w:t>arify</w:t>
      </w:r>
      <w:r>
        <w:rPr>
          <w:rFonts w:ascii="Arial" w:hAnsi="Arial" w:cs="Arial"/>
          <w:sz w:val="22"/>
          <w:szCs w:val="22"/>
        </w:rPr>
        <w:t xml:space="preserve"> current </w:t>
      </w:r>
      <w:r w:rsidR="00425201" w:rsidRPr="00425201">
        <w:rPr>
          <w:rFonts w:ascii="Arial" w:hAnsi="Arial" w:cs="Arial"/>
          <w:sz w:val="22"/>
          <w:szCs w:val="22"/>
        </w:rPr>
        <w:t xml:space="preserve">arrangements in each jurisdiction with regards to rating wind farms for </w:t>
      </w:r>
      <w:r>
        <w:rPr>
          <w:rFonts w:ascii="Arial" w:hAnsi="Arial" w:cs="Arial"/>
          <w:sz w:val="22"/>
          <w:szCs w:val="22"/>
        </w:rPr>
        <w:t xml:space="preserve">the purposes of </w:t>
      </w:r>
      <w:r w:rsidR="00425201" w:rsidRPr="00425201">
        <w:rPr>
          <w:rFonts w:ascii="Arial" w:hAnsi="Arial" w:cs="Arial"/>
          <w:sz w:val="22"/>
          <w:szCs w:val="22"/>
        </w:rPr>
        <w:t xml:space="preserve">council rates, land tax and emergency services levies to </w:t>
      </w:r>
      <w:r>
        <w:rPr>
          <w:rFonts w:ascii="Arial" w:hAnsi="Arial" w:cs="Arial"/>
          <w:sz w:val="22"/>
          <w:szCs w:val="22"/>
        </w:rPr>
        <w:t xml:space="preserve">identify </w:t>
      </w:r>
      <w:r w:rsidR="00425201" w:rsidRPr="00425201">
        <w:rPr>
          <w:rFonts w:ascii="Arial" w:hAnsi="Arial" w:cs="Arial"/>
          <w:sz w:val="22"/>
          <w:szCs w:val="22"/>
        </w:rPr>
        <w:t xml:space="preserve">potential discrepancies and ensure that </w:t>
      </w:r>
      <w:r>
        <w:rPr>
          <w:rFonts w:ascii="Arial" w:hAnsi="Arial" w:cs="Arial"/>
          <w:sz w:val="22"/>
          <w:szCs w:val="22"/>
        </w:rPr>
        <w:t xml:space="preserve">implications </w:t>
      </w:r>
      <w:r w:rsidR="00425201" w:rsidRPr="00425201">
        <w:rPr>
          <w:rFonts w:ascii="Arial" w:hAnsi="Arial" w:cs="Arial"/>
          <w:sz w:val="22"/>
          <w:szCs w:val="22"/>
        </w:rPr>
        <w:t xml:space="preserve">for landowners are </w:t>
      </w:r>
      <w:r>
        <w:rPr>
          <w:rFonts w:ascii="Arial" w:hAnsi="Arial" w:cs="Arial"/>
          <w:sz w:val="22"/>
          <w:szCs w:val="22"/>
        </w:rPr>
        <w:t>understood</w:t>
      </w:r>
      <w:r w:rsidR="00425201" w:rsidRPr="00425201">
        <w:rPr>
          <w:rFonts w:ascii="Arial" w:hAnsi="Arial" w:cs="Arial"/>
          <w:sz w:val="22"/>
          <w:szCs w:val="22"/>
        </w:rPr>
        <w:t>.</w:t>
      </w:r>
    </w:p>
    <w:p w14:paraId="328A8362" w14:textId="77777777" w:rsidR="00425201" w:rsidRPr="00173E3C" w:rsidRDefault="00425201" w:rsidP="00425201">
      <w:pPr>
        <w:spacing w:after="240"/>
        <w:rPr>
          <w:rFonts w:cs="Arial"/>
          <w:b/>
        </w:rPr>
      </w:pPr>
      <w:r w:rsidRPr="00173E3C">
        <w:rPr>
          <w:rFonts w:cs="Arial"/>
          <w:b/>
          <w:i/>
          <w:iCs/>
        </w:rPr>
        <w:t>Industry related:</w:t>
      </w:r>
    </w:p>
    <w:p w14:paraId="371D958C" w14:textId="0AF47731" w:rsidR="00425201" w:rsidRPr="00425201" w:rsidRDefault="00091D95" w:rsidP="00D35B01">
      <w:pPr>
        <w:numPr>
          <w:ilvl w:val="0"/>
          <w:numId w:val="35"/>
        </w:numPr>
        <w:spacing w:after="240"/>
        <w:ind w:left="1418" w:hanging="709"/>
        <w:rPr>
          <w:rFonts w:cs="Arial"/>
        </w:rPr>
      </w:pPr>
      <w:r>
        <w:rPr>
          <w:rFonts w:cs="Arial"/>
        </w:rPr>
        <w:t>Promote</w:t>
      </w:r>
      <w:r w:rsidR="00425201" w:rsidRPr="00425201">
        <w:rPr>
          <w:rFonts w:cs="Arial"/>
        </w:rPr>
        <w:t xml:space="preserve"> improved transparency of wind farm information and contact details on industry member websites</w:t>
      </w:r>
      <w:r w:rsidR="005E01FD">
        <w:rPr>
          <w:rFonts w:cs="Arial"/>
        </w:rPr>
        <w:t>.</w:t>
      </w:r>
    </w:p>
    <w:p w14:paraId="04FEDA34" w14:textId="0EB49660" w:rsidR="00425201" w:rsidRPr="00425201" w:rsidRDefault="00D51205" w:rsidP="00D35B01">
      <w:pPr>
        <w:numPr>
          <w:ilvl w:val="0"/>
          <w:numId w:val="35"/>
        </w:numPr>
        <w:spacing w:after="240"/>
        <w:ind w:left="1418" w:hanging="709"/>
        <w:rPr>
          <w:rFonts w:cs="Arial"/>
        </w:rPr>
      </w:pPr>
      <w:r>
        <w:rPr>
          <w:rFonts w:cs="Arial"/>
        </w:rPr>
        <w:t xml:space="preserve">Advocate </w:t>
      </w:r>
      <w:r w:rsidR="00425201" w:rsidRPr="00425201">
        <w:rPr>
          <w:rFonts w:cs="Arial"/>
        </w:rPr>
        <w:t>for increased transparency of information about wind farm ownership and notifying relevant agencies when there has been a material change in the ownership of the wind farm</w:t>
      </w:r>
      <w:r w:rsidR="005E01FD">
        <w:rPr>
          <w:rFonts w:cs="Arial"/>
        </w:rPr>
        <w:t>.</w:t>
      </w:r>
    </w:p>
    <w:p w14:paraId="4005B529" w14:textId="41FF2F65" w:rsidR="00425201" w:rsidRPr="00425201" w:rsidRDefault="00D51205" w:rsidP="00D35B01">
      <w:pPr>
        <w:numPr>
          <w:ilvl w:val="0"/>
          <w:numId w:val="35"/>
        </w:numPr>
        <w:spacing w:after="240"/>
        <w:ind w:left="1418" w:hanging="709"/>
        <w:rPr>
          <w:rFonts w:cs="Arial"/>
        </w:rPr>
      </w:pPr>
      <w:r>
        <w:rPr>
          <w:rFonts w:cs="Arial"/>
        </w:rPr>
        <w:t>Identify</w:t>
      </w:r>
      <w:r w:rsidR="00425201" w:rsidRPr="00425201">
        <w:rPr>
          <w:rFonts w:cs="Arial"/>
        </w:rPr>
        <w:t xml:space="preserve"> and promoting best practice models for the funding and accountability of wind farm decommissioning</w:t>
      </w:r>
      <w:r w:rsidR="005E01FD">
        <w:rPr>
          <w:rFonts w:cs="Arial"/>
        </w:rPr>
        <w:t>.</w:t>
      </w:r>
    </w:p>
    <w:p w14:paraId="3603CF8B" w14:textId="60FCA605" w:rsidR="00425201" w:rsidRPr="00425201" w:rsidRDefault="00D51205" w:rsidP="00D35B01">
      <w:pPr>
        <w:numPr>
          <w:ilvl w:val="0"/>
          <w:numId w:val="35"/>
        </w:numPr>
        <w:spacing w:after="240"/>
        <w:ind w:left="1418" w:hanging="709"/>
        <w:rPr>
          <w:rFonts w:cs="Arial"/>
        </w:rPr>
      </w:pPr>
      <w:r>
        <w:rPr>
          <w:rFonts w:cs="Arial"/>
        </w:rPr>
        <w:t>Advocate</w:t>
      </w:r>
      <w:r w:rsidR="00425201" w:rsidRPr="00425201">
        <w:rPr>
          <w:rFonts w:cs="Arial"/>
        </w:rPr>
        <w:t xml:space="preserve"> for fair and reasonable agreements between wind farms and landowners (hosts and neighbours)</w:t>
      </w:r>
      <w:r w:rsidR="007E1923">
        <w:rPr>
          <w:rFonts w:cs="Arial"/>
        </w:rPr>
        <w:t xml:space="preserve"> and for access to appropriate legal and financial advice</w:t>
      </w:r>
      <w:r w:rsidR="005E01FD">
        <w:rPr>
          <w:rFonts w:cs="Arial"/>
        </w:rPr>
        <w:t>.</w:t>
      </w:r>
    </w:p>
    <w:p w14:paraId="4B3DE5AE" w14:textId="7DBB470A" w:rsidR="00425201" w:rsidRPr="00425201" w:rsidRDefault="00425201" w:rsidP="00D35B01">
      <w:pPr>
        <w:numPr>
          <w:ilvl w:val="0"/>
          <w:numId w:val="35"/>
        </w:numPr>
        <w:spacing w:after="240"/>
        <w:ind w:left="1418" w:hanging="709"/>
        <w:rPr>
          <w:rFonts w:cs="Arial"/>
        </w:rPr>
      </w:pPr>
      <w:r w:rsidRPr="00425201">
        <w:rPr>
          <w:rFonts w:cs="Arial"/>
        </w:rPr>
        <w:t>Proactively engag</w:t>
      </w:r>
      <w:r w:rsidR="00D51205">
        <w:rPr>
          <w:rFonts w:cs="Arial"/>
        </w:rPr>
        <w:t>e</w:t>
      </w:r>
      <w:r w:rsidRPr="00425201">
        <w:rPr>
          <w:rFonts w:cs="Arial"/>
        </w:rPr>
        <w:t xml:space="preserve"> with construction companies to assist in their design of community engagement and complaint response programs</w:t>
      </w:r>
      <w:r w:rsidR="005E01FD">
        <w:rPr>
          <w:rFonts w:cs="Arial"/>
        </w:rPr>
        <w:t>.</w:t>
      </w:r>
    </w:p>
    <w:p w14:paraId="61E4F50E" w14:textId="77777777" w:rsidR="00425201" w:rsidRPr="00425201" w:rsidRDefault="00425201" w:rsidP="00425201">
      <w:pPr>
        <w:spacing w:after="240"/>
        <w:rPr>
          <w:rFonts w:cs="Arial"/>
        </w:rPr>
      </w:pPr>
      <w:r w:rsidRPr="00173E3C">
        <w:rPr>
          <w:rFonts w:cs="Arial"/>
          <w:b/>
          <w:i/>
          <w:iCs/>
        </w:rPr>
        <w:t>Federal Government</w:t>
      </w:r>
      <w:r w:rsidRPr="00425201">
        <w:rPr>
          <w:rFonts w:cs="Arial"/>
          <w:i/>
          <w:iCs/>
        </w:rPr>
        <w:t>:</w:t>
      </w:r>
    </w:p>
    <w:p w14:paraId="64E7EB59" w14:textId="15E0DF8B" w:rsidR="00710466" w:rsidRPr="00425201" w:rsidRDefault="00425201" w:rsidP="00D35B01">
      <w:pPr>
        <w:numPr>
          <w:ilvl w:val="0"/>
          <w:numId w:val="35"/>
        </w:numPr>
        <w:spacing w:after="240"/>
        <w:ind w:left="1418" w:hanging="709"/>
        <w:rPr>
          <w:rFonts w:cs="Arial"/>
        </w:rPr>
      </w:pPr>
      <w:r w:rsidRPr="00425201">
        <w:rPr>
          <w:rFonts w:cs="Arial"/>
        </w:rPr>
        <w:t>Review of the Clean Energy Regulator’s</w:t>
      </w:r>
      <w:r w:rsidR="005E01FD">
        <w:rPr>
          <w:rFonts w:cs="Arial"/>
        </w:rPr>
        <w:t xml:space="preserve"> (CER)</w:t>
      </w:r>
      <w:r w:rsidRPr="00425201">
        <w:rPr>
          <w:rFonts w:cs="Arial"/>
        </w:rPr>
        <w:t xml:space="preserve"> compliance enforcement powers and actions that may be taken by the CER in the event of a suspected</w:t>
      </w:r>
      <w:r w:rsidR="009A00AA">
        <w:rPr>
          <w:rFonts w:cs="Arial"/>
        </w:rPr>
        <w:t xml:space="preserve"> or reported </w:t>
      </w:r>
      <w:r w:rsidRPr="00425201">
        <w:rPr>
          <w:rFonts w:cs="Arial"/>
        </w:rPr>
        <w:t>unrectified material breach of compliance</w:t>
      </w:r>
      <w:r w:rsidR="009A00AA">
        <w:rPr>
          <w:rFonts w:cs="Arial"/>
        </w:rPr>
        <w:t xml:space="preserve"> (see also Recommendation 5.2.6)</w:t>
      </w:r>
      <w:r w:rsidRPr="00425201">
        <w:rPr>
          <w:rFonts w:cs="Arial"/>
        </w:rPr>
        <w:t>.</w:t>
      </w:r>
    </w:p>
    <w:p w14:paraId="303C9577" w14:textId="7C1E175E" w:rsidR="00710466" w:rsidRPr="00425201" w:rsidRDefault="00425201" w:rsidP="00D35B01">
      <w:pPr>
        <w:numPr>
          <w:ilvl w:val="0"/>
          <w:numId w:val="35"/>
        </w:numPr>
        <w:spacing w:after="240"/>
        <w:ind w:left="1418" w:hanging="709"/>
        <w:rPr>
          <w:rFonts w:cs="Arial"/>
        </w:rPr>
      </w:pPr>
      <w:r w:rsidRPr="00425201">
        <w:rPr>
          <w:rFonts w:cs="Arial"/>
        </w:rPr>
        <w:t xml:space="preserve">Review of current CER annual statement </w:t>
      </w:r>
      <w:r w:rsidR="003D5C93">
        <w:rPr>
          <w:rFonts w:cs="Arial"/>
        </w:rPr>
        <w:t xml:space="preserve">return </w:t>
      </w:r>
      <w:r w:rsidRPr="00425201">
        <w:rPr>
          <w:rFonts w:cs="Arial"/>
        </w:rPr>
        <w:t>forms to better identify historical or contemporary compliance breaches</w:t>
      </w:r>
      <w:r w:rsidR="009A00AA">
        <w:rPr>
          <w:rFonts w:cs="Arial"/>
        </w:rPr>
        <w:t xml:space="preserve">, including </w:t>
      </w:r>
      <w:r w:rsidRPr="00425201">
        <w:rPr>
          <w:rFonts w:cs="Arial"/>
        </w:rPr>
        <w:t xml:space="preserve">steps </w:t>
      </w:r>
      <w:r w:rsidR="009A00AA">
        <w:rPr>
          <w:rFonts w:cs="Arial"/>
        </w:rPr>
        <w:t xml:space="preserve">taken </w:t>
      </w:r>
      <w:r w:rsidRPr="00425201">
        <w:rPr>
          <w:rFonts w:cs="Arial"/>
        </w:rPr>
        <w:t>to rectify breaches</w:t>
      </w:r>
      <w:r w:rsidR="009A00AA">
        <w:rPr>
          <w:rFonts w:cs="Arial"/>
        </w:rPr>
        <w:t>,</w:t>
      </w:r>
      <w:r w:rsidRPr="00425201">
        <w:rPr>
          <w:rFonts w:cs="Arial"/>
        </w:rPr>
        <w:t xml:space="preserve"> and continue to provide </w:t>
      </w:r>
      <w:r w:rsidR="009A00AA">
        <w:rPr>
          <w:rFonts w:cs="Arial"/>
        </w:rPr>
        <w:t xml:space="preserve">ongoing </w:t>
      </w:r>
      <w:r w:rsidRPr="00425201">
        <w:rPr>
          <w:rFonts w:cs="Arial"/>
        </w:rPr>
        <w:t xml:space="preserve">input to the CER accreditation </w:t>
      </w:r>
      <w:r w:rsidR="009A00AA">
        <w:rPr>
          <w:rFonts w:cs="Arial"/>
        </w:rPr>
        <w:t xml:space="preserve">assessment </w:t>
      </w:r>
      <w:r w:rsidRPr="00425201">
        <w:rPr>
          <w:rFonts w:cs="Arial"/>
        </w:rPr>
        <w:t>process.</w:t>
      </w:r>
    </w:p>
    <w:p w14:paraId="1F3ED1CC" w14:textId="5217B3D1" w:rsidR="00710466" w:rsidRPr="00425201" w:rsidRDefault="00091D95" w:rsidP="00D35B01">
      <w:pPr>
        <w:numPr>
          <w:ilvl w:val="0"/>
          <w:numId w:val="35"/>
        </w:numPr>
        <w:spacing w:after="240"/>
        <w:ind w:left="1418" w:hanging="709"/>
        <w:rPr>
          <w:rFonts w:cs="Arial"/>
        </w:rPr>
      </w:pPr>
      <w:r>
        <w:rPr>
          <w:rFonts w:cs="Arial"/>
        </w:rPr>
        <w:t>Consult</w:t>
      </w:r>
      <w:r w:rsidR="00425201" w:rsidRPr="00425201">
        <w:rPr>
          <w:rFonts w:cs="Arial"/>
        </w:rPr>
        <w:t xml:space="preserve"> with lenders, such as the CEFC, to encourage the consideration of specific loan conditions </w:t>
      </w:r>
      <w:r>
        <w:rPr>
          <w:rFonts w:cs="Arial"/>
        </w:rPr>
        <w:t xml:space="preserve">for wind farm projects that </w:t>
      </w:r>
      <w:r w:rsidR="00425201" w:rsidRPr="00425201">
        <w:rPr>
          <w:rFonts w:cs="Arial"/>
        </w:rPr>
        <w:t xml:space="preserve">improve community outcomes and </w:t>
      </w:r>
      <w:r>
        <w:rPr>
          <w:rFonts w:cs="Arial"/>
        </w:rPr>
        <w:t xml:space="preserve">the </w:t>
      </w:r>
      <w:r w:rsidR="00425201" w:rsidRPr="00425201">
        <w:rPr>
          <w:rFonts w:cs="Arial"/>
        </w:rPr>
        <w:t xml:space="preserve">rigour of </w:t>
      </w:r>
      <w:r>
        <w:rPr>
          <w:rFonts w:cs="Arial"/>
        </w:rPr>
        <w:t xml:space="preserve">compliance </w:t>
      </w:r>
      <w:r w:rsidR="00425201" w:rsidRPr="00425201">
        <w:rPr>
          <w:rFonts w:cs="Arial"/>
        </w:rPr>
        <w:t>processes (e</w:t>
      </w:r>
      <w:r w:rsidR="007E1923">
        <w:rPr>
          <w:rFonts w:cs="Arial"/>
        </w:rPr>
        <w:t>.</w:t>
      </w:r>
      <w:r w:rsidR="00425201" w:rsidRPr="00425201">
        <w:rPr>
          <w:rFonts w:cs="Arial"/>
        </w:rPr>
        <w:t xml:space="preserve">g. independent auditing of noise assessments and </w:t>
      </w:r>
      <w:r w:rsidR="005E01FD">
        <w:rPr>
          <w:rFonts w:cs="Arial"/>
        </w:rPr>
        <w:t>post-</w:t>
      </w:r>
      <w:r w:rsidR="007E1923">
        <w:rPr>
          <w:rFonts w:cs="Arial"/>
        </w:rPr>
        <w:t xml:space="preserve">construction </w:t>
      </w:r>
      <w:r w:rsidR="00425201" w:rsidRPr="00425201">
        <w:rPr>
          <w:rFonts w:cs="Arial"/>
        </w:rPr>
        <w:t>noise testing reports).</w:t>
      </w:r>
    </w:p>
    <w:p w14:paraId="4803313C" w14:textId="77777777" w:rsidR="00710466" w:rsidRPr="00425201" w:rsidRDefault="00425201" w:rsidP="00D35B01">
      <w:pPr>
        <w:numPr>
          <w:ilvl w:val="0"/>
          <w:numId w:val="35"/>
        </w:numPr>
        <w:spacing w:after="240"/>
        <w:ind w:left="1418" w:hanging="709"/>
        <w:rPr>
          <w:rFonts w:cs="Arial"/>
        </w:rPr>
      </w:pPr>
      <w:r w:rsidRPr="00425201">
        <w:rPr>
          <w:rFonts w:cs="Arial"/>
        </w:rPr>
        <w:t>Collaborative review of wind farm project pipelines with Federal Government stakeholders to identify projects that may have lapsed, changed and/or projects that should be proactively reached out to.</w:t>
      </w:r>
    </w:p>
    <w:p w14:paraId="3D84B87E" w14:textId="7EFEA44B" w:rsidR="00710466" w:rsidRPr="00425201" w:rsidRDefault="00425201" w:rsidP="00D35B01">
      <w:pPr>
        <w:numPr>
          <w:ilvl w:val="0"/>
          <w:numId w:val="35"/>
        </w:numPr>
        <w:spacing w:after="240"/>
        <w:ind w:left="1418" w:hanging="709"/>
        <w:rPr>
          <w:rFonts w:cs="Arial"/>
        </w:rPr>
      </w:pPr>
      <w:r w:rsidRPr="00425201">
        <w:rPr>
          <w:rFonts w:cs="Arial"/>
        </w:rPr>
        <w:t>Gui</w:t>
      </w:r>
      <w:r w:rsidR="002D5A92">
        <w:rPr>
          <w:rFonts w:cs="Arial"/>
        </w:rPr>
        <w:t>dance to the Australasian Fire and</w:t>
      </w:r>
      <w:r w:rsidRPr="00425201">
        <w:rPr>
          <w:rFonts w:cs="Arial"/>
        </w:rPr>
        <w:t xml:space="preserve"> Emergency Service Authorities Council (AFAC) and state-based emergency services responders in relation to emergency management/bushfire protocols based on our learnings from actual emergency events.</w:t>
      </w:r>
    </w:p>
    <w:p w14:paraId="27A6909E" w14:textId="77777777" w:rsidR="00710466" w:rsidRPr="00425201" w:rsidRDefault="00425201" w:rsidP="00D35B01">
      <w:pPr>
        <w:numPr>
          <w:ilvl w:val="0"/>
          <w:numId w:val="35"/>
        </w:numPr>
        <w:spacing w:after="240"/>
        <w:ind w:left="1418" w:hanging="709"/>
        <w:rPr>
          <w:rFonts w:cs="Arial"/>
        </w:rPr>
      </w:pPr>
      <w:r w:rsidRPr="00425201">
        <w:rPr>
          <w:rFonts w:cs="Arial"/>
        </w:rPr>
        <w:t>Review and possible audit of the Royal Australian Air Force (RAAF) tall structure database with regard to input and accuracy of recording proposed and operating wind farm tall structure assets.</w:t>
      </w:r>
    </w:p>
    <w:p w14:paraId="6E8269BE" w14:textId="3579C29F" w:rsidR="00D51205" w:rsidRDefault="00425201" w:rsidP="00425201">
      <w:pPr>
        <w:numPr>
          <w:ilvl w:val="0"/>
          <w:numId w:val="35"/>
        </w:numPr>
        <w:spacing w:after="240"/>
        <w:ind w:left="1418" w:hanging="709"/>
        <w:rPr>
          <w:rFonts w:cs="Arial"/>
        </w:rPr>
      </w:pPr>
      <w:r w:rsidRPr="00425201">
        <w:rPr>
          <w:rFonts w:cs="Arial"/>
        </w:rPr>
        <w:t xml:space="preserve">Review of the current Civil Aviation Safety Authority (CASA) </w:t>
      </w:r>
      <w:r w:rsidR="00BD578B">
        <w:rPr>
          <w:rFonts w:cs="Arial"/>
        </w:rPr>
        <w:t xml:space="preserve">processes </w:t>
      </w:r>
      <w:r w:rsidRPr="00425201">
        <w:rPr>
          <w:rFonts w:cs="Arial"/>
        </w:rPr>
        <w:t xml:space="preserve">regarding wind farms and air safety matters and the enforceability of CASA's recommendations by </w:t>
      </w:r>
      <w:r w:rsidR="005E01FD">
        <w:rPr>
          <w:rFonts w:cs="Arial"/>
        </w:rPr>
        <w:t>s</w:t>
      </w:r>
      <w:r w:rsidRPr="00425201">
        <w:rPr>
          <w:rFonts w:cs="Arial"/>
        </w:rPr>
        <w:t xml:space="preserve">tate </w:t>
      </w:r>
      <w:r w:rsidR="005E01FD">
        <w:rPr>
          <w:rFonts w:cs="Arial"/>
        </w:rPr>
        <w:t>g</w:t>
      </w:r>
      <w:r w:rsidRPr="00425201">
        <w:rPr>
          <w:rFonts w:cs="Arial"/>
        </w:rPr>
        <w:t>overnments into planning permit conditions.</w:t>
      </w:r>
    </w:p>
    <w:p w14:paraId="44FB3B87" w14:textId="77777777" w:rsidR="00A627C1" w:rsidRPr="00657BCC" w:rsidRDefault="00A627C1" w:rsidP="00A627C1">
      <w:pPr>
        <w:spacing w:after="240"/>
        <w:ind w:left="1418"/>
        <w:rPr>
          <w:rFonts w:cs="Arial"/>
        </w:rPr>
      </w:pPr>
    </w:p>
    <w:p w14:paraId="1E1EBF3F" w14:textId="77777777" w:rsidR="00425201" w:rsidRPr="00173E3C" w:rsidRDefault="00425201" w:rsidP="00425201">
      <w:pPr>
        <w:spacing w:after="240"/>
        <w:rPr>
          <w:rFonts w:cs="Arial"/>
          <w:b/>
        </w:rPr>
      </w:pPr>
      <w:r w:rsidRPr="00173E3C">
        <w:rPr>
          <w:rFonts w:cs="Arial"/>
          <w:b/>
          <w:i/>
          <w:iCs/>
        </w:rPr>
        <w:lastRenderedPageBreak/>
        <w:t>State and Local Government:</w:t>
      </w:r>
    </w:p>
    <w:p w14:paraId="55FD8D0D" w14:textId="65970145" w:rsidR="00710466" w:rsidRPr="00425201" w:rsidRDefault="00D51205" w:rsidP="00D35B01">
      <w:pPr>
        <w:numPr>
          <w:ilvl w:val="0"/>
          <w:numId w:val="35"/>
        </w:numPr>
        <w:ind w:left="1418" w:hanging="709"/>
        <w:rPr>
          <w:rFonts w:cs="Arial"/>
        </w:rPr>
      </w:pPr>
      <w:r>
        <w:rPr>
          <w:rFonts w:cs="Arial"/>
        </w:rPr>
        <w:t>Assist</w:t>
      </w:r>
      <w:r w:rsidR="00425201" w:rsidRPr="00425201">
        <w:rPr>
          <w:rFonts w:cs="Arial"/>
        </w:rPr>
        <w:t xml:space="preserve"> state govern</w:t>
      </w:r>
      <w:r>
        <w:rPr>
          <w:rFonts w:cs="Arial"/>
        </w:rPr>
        <w:t xml:space="preserve">ments during </w:t>
      </w:r>
      <w:r w:rsidR="00425201" w:rsidRPr="00425201">
        <w:rPr>
          <w:rFonts w:cs="Arial"/>
        </w:rPr>
        <w:t xml:space="preserve">reviews </w:t>
      </w:r>
      <w:r>
        <w:rPr>
          <w:rFonts w:cs="Arial"/>
        </w:rPr>
        <w:t>and updates to</w:t>
      </w:r>
      <w:r w:rsidR="00425201" w:rsidRPr="00425201">
        <w:rPr>
          <w:rFonts w:cs="Arial"/>
        </w:rPr>
        <w:t xml:space="preserve"> wind farm planning guidelines. Most recently </w:t>
      </w:r>
      <w:r w:rsidR="003D5C93">
        <w:rPr>
          <w:rFonts w:cs="Arial"/>
        </w:rPr>
        <w:t xml:space="preserve">the Office has </w:t>
      </w:r>
      <w:r w:rsidR="00425201" w:rsidRPr="00425201">
        <w:rPr>
          <w:rFonts w:cs="Arial"/>
        </w:rPr>
        <w:t xml:space="preserve">assisted and </w:t>
      </w:r>
      <w:r w:rsidR="005E01FD">
        <w:rPr>
          <w:rFonts w:cs="Arial"/>
        </w:rPr>
        <w:t>provided input to reviews in New South Wales</w:t>
      </w:r>
      <w:r w:rsidR="00425201" w:rsidRPr="00425201">
        <w:rPr>
          <w:rFonts w:cs="Arial"/>
        </w:rPr>
        <w:t>, Victoria and Western Australia.</w:t>
      </w:r>
    </w:p>
    <w:p w14:paraId="7B191571" w14:textId="639AD03E" w:rsidR="00710466" w:rsidRPr="00425201" w:rsidRDefault="00425201" w:rsidP="00D35B01">
      <w:pPr>
        <w:numPr>
          <w:ilvl w:val="0"/>
          <w:numId w:val="35"/>
        </w:numPr>
        <w:ind w:left="1418" w:hanging="709"/>
        <w:rPr>
          <w:rFonts w:cs="Arial"/>
        </w:rPr>
      </w:pPr>
      <w:r w:rsidRPr="00425201">
        <w:rPr>
          <w:rFonts w:cs="Arial"/>
        </w:rPr>
        <w:t xml:space="preserve">Clarification of the primary compliance authority for operating wind farms in each jurisdiction to provide </w:t>
      </w:r>
      <w:r w:rsidR="003D5C93">
        <w:rPr>
          <w:rFonts w:cs="Arial"/>
        </w:rPr>
        <w:t xml:space="preserve">clear </w:t>
      </w:r>
      <w:r w:rsidRPr="00425201">
        <w:rPr>
          <w:rFonts w:cs="Arial"/>
        </w:rPr>
        <w:t>accountability for the monitoring and enforcement of wind farm compliance.</w:t>
      </w:r>
    </w:p>
    <w:p w14:paraId="0C589B92" w14:textId="77777777" w:rsidR="00710466" w:rsidRPr="00425201" w:rsidRDefault="00425201" w:rsidP="00D35B01">
      <w:pPr>
        <w:numPr>
          <w:ilvl w:val="0"/>
          <w:numId w:val="35"/>
        </w:numPr>
        <w:ind w:left="1418" w:hanging="709"/>
        <w:rPr>
          <w:rFonts w:cs="Arial"/>
        </w:rPr>
      </w:pPr>
      <w:r w:rsidRPr="00425201">
        <w:rPr>
          <w:rFonts w:cs="Arial"/>
        </w:rPr>
        <w:t>Clarification of stewardship of the primary environmental wind farm standards in each state to minimise confusion for community members, government agencies and industry.</w:t>
      </w:r>
    </w:p>
    <w:p w14:paraId="3E54EBE8" w14:textId="64F42D54" w:rsidR="00710466" w:rsidRPr="00425201" w:rsidRDefault="00D51205" w:rsidP="00D35B01">
      <w:pPr>
        <w:numPr>
          <w:ilvl w:val="0"/>
          <w:numId w:val="35"/>
        </w:numPr>
        <w:ind w:left="1418" w:hanging="709"/>
        <w:rPr>
          <w:rFonts w:cs="Arial"/>
        </w:rPr>
      </w:pPr>
      <w:r>
        <w:rPr>
          <w:rFonts w:cs="Arial"/>
        </w:rPr>
        <w:t>Review</w:t>
      </w:r>
      <w:r w:rsidR="00425201" w:rsidRPr="00425201">
        <w:rPr>
          <w:rFonts w:cs="Arial"/>
        </w:rPr>
        <w:t xml:space="preserve"> arrangements with regards to rating wind farms for council rates, land tax and emergency services levies in each jurisdiction</w:t>
      </w:r>
      <w:r w:rsidR="003D5C93">
        <w:rPr>
          <w:rFonts w:cs="Arial"/>
        </w:rPr>
        <w:t xml:space="preserve"> so</w:t>
      </w:r>
      <w:r w:rsidR="00425201" w:rsidRPr="00425201">
        <w:rPr>
          <w:rFonts w:cs="Arial"/>
        </w:rPr>
        <w:t xml:space="preserve"> to identify any potential discrepancies and help ensure that responsibilities for costs are clear.</w:t>
      </w:r>
    </w:p>
    <w:p w14:paraId="5AEB0224" w14:textId="56447597" w:rsidR="00710466" w:rsidRPr="00425201" w:rsidRDefault="00D51205" w:rsidP="00D35B01">
      <w:pPr>
        <w:numPr>
          <w:ilvl w:val="0"/>
          <w:numId w:val="35"/>
        </w:numPr>
        <w:ind w:left="1418" w:hanging="709"/>
        <w:rPr>
          <w:rFonts w:cs="Arial"/>
        </w:rPr>
      </w:pPr>
      <w:r>
        <w:rPr>
          <w:rFonts w:cs="Arial"/>
        </w:rPr>
        <w:t>Advocate</w:t>
      </w:r>
      <w:r w:rsidR="00425201" w:rsidRPr="00425201">
        <w:rPr>
          <w:rFonts w:cs="Arial"/>
        </w:rPr>
        <w:t xml:space="preserve"> </w:t>
      </w:r>
      <w:r w:rsidR="003D5C93">
        <w:rPr>
          <w:rFonts w:cs="Arial"/>
        </w:rPr>
        <w:t xml:space="preserve">for </w:t>
      </w:r>
      <w:r w:rsidR="00425201" w:rsidRPr="00425201">
        <w:rPr>
          <w:rFonts w:cs="Arial"/>
        </w:rPr>
        <w:t xml:space="preserve">a more transparent assessment process in the event of consent to </w:t>
      </w:r>
      <w:r w:rsidR="003D5C93">
        <w:rPr>
          <w:rFonts w:cs="Arial"/>
        </w:rPr>
        <w:t xml:space="preserve">modify </w:t>
      </w:r>
      <w:r w:rsidR="00425201" w:rsidRPr="00425201">
        <w:rPr>
          <w:rFonts w:cs="Arial"/>
        </w:rPr>
        <w:t xml:space="preserve">permit conditions where material changes to a wind farm's design are proposed. The Victorian Minister for Planning has now adopted this approach </w:t>
      </w:r>
      <w:r w:rsidR="003D5C93">
        <w:rPr>
          <w:rFonts w:cs="Arial"/>
        </w:rPr>
        <w:t xml:space="preserve">when providing consent to requested </w:t>
      </w:r>
      <w:r w:rsidR="00425201" w:rsidRPr="00425201">
        <w:rPr>
          <w:rFonts w:cs="Arial"/>
        </w:rPr>
        <w:t xml:space="preserve">planning permit modifications. </w:t>
      </w:r>
    </w:p>
    <w:p w14:paraId="04BDF746" w14:textId="4F7248DE" w:rsidR="00710466" w:rsidRPr="00425201" w:rsidRDefault="00D51205" w:rsidP="00D35B01">
      <w:pPr>
        <w:numPr>
          <w:ilvl w:val="0"/>
          <w:numId w:val="35"/>
        </w:numPr>
        <w:ind w:left="1418" w:hanging="709"/>
        <w:rPr>
          <w:rFonts w:cs="Arial"/>
        </w:rPr>
      </w:pPr>
      <w:r>
        <w:rPr>
          <w:rFonts w:cs="Arial"/>
        </w:rPr>
        <w:t>Provide</w:t>
      </w:r>
      <w:r w:rsidR="00425201" w:rsidRPr="00425201">
        <w:rPr>
          <w:rFonts w:cs="Arial"/>
        </w:rPr>
        <w:t xml:space="preserve"> input to the new Victorian guidelines and criteria for effective community engagement, as to be applied for candidates seeking to participate in the Victorian Renewable Energy Target (VRET) program.</w:t>
      </w:r>
    </w:p>
    <w:p w14:paraId="06C3E3E4" w14:textId="77777777" w:rsidR="00710466" w:rsidRPr="00425201" w:rsidRDefault="00425201" w:rsidP="00D35B01">
      <w:pPr>
        <w:numPr>
          <w:ilvl w:val="0"/>
          <w:numId w:val="35"/>
        </w:numPr>
        <w:ind w:left="1418" w:hanging="709"/>
        <w:rPr>
          <w:rFonts w:cs="Arial"/>
        </w:rPr>
      </w:pPr>
      <w:r w:rsidRPr="00425201">
        <w:rPr>
          <w:rFonts w:cs="Arial"/>
        </w:rPr>
        <w:t>Review current permit and compliance conditions for flora and fauna considerations to identify opportunities for clearer measures, thresholds and outcomes as well as improved compliance management.</w:t>
      </w:r>
    </w:p>
    <w:p w14:paraId="2836460D" w14:textId="49768F42" w:rsidR="004700C5" w:rsidRPr="003D5C93" w:rsidRDefault="00D51205" w:rsidP="00D35B01">
      <w:pPr>
        <w:numPr>
          <w:ilvl w:val="0"/>
          <w:numId w:val="35"/>
        </w:numPr>
        <w:ind w:left="1418" w:hanging="709"/>
      </w:pPr>
      <w:r>
        <w:rPr>
          <w:rFonts w:cs="Arial"/>
        </w:rPr>
        <w:t>Provide</w:t>
      </w:r>
      <w:r w:rsidR="00425201" w:rsidRPr="00425201">
        <w:rPr>
          <w:rFonts w:cs="Arial"/>
        </w:rPr>
        <w:t xml:space="preserve"> suggestions</w:t>
      </w:r>
      <w:r w:rsidR="003D5C93">
        <w:rPr>
          <w:rFonts w:cs="Arial"/>
        </w:rPr>
        <w:t xml:space="preserve"> and assistance </w:t>
      </w:r>
      <w:r w:rsidR="00425201" w:rsidRPr="00425201">
        <w:rPr>
          <w:rFonts w:cs="Arial"/>
        </w:rPr>
        <w:t xml:space="preserve">to assist local councils </w:t>
      </w:r>
      <w:r w:rsidR="003D5C93">
        <w:rPr>
          <w:rFonts w:cs="Arial"/>
        </w:rPr>
        <w:t xml:space="preserve">to </w:t>
      </w:r>
      <w:r w:rsidR="00425201" w:rsidRPr="00425201">
        <w:rPr>
          <w:rFonts w:cs="Arial"/>
        </w:rPr>
        <w:t>fulfil their compliance responsibilities in relation to operating wind farm projects.</w:t>
      </w:r>
    </w:p>
    <w:p w14:paraId="71E6671F" w14:textId="6195BBF7" w:rsidR="003D5C93" w:rsidRDefault="00D51205" w:rsidP="00D35B01">
      <w:pPr>
        <w:numPr>
          <w:ilvl w:val="0"/>
          <w:numId w:val="35"/>
        </w:numPr>
        <w:ind w:left="1418" w:hanging="709"/>
      </w:pPr>
      <w:r>
        <w:rPr>
          <w:rFonts w:cs="Arial"/>
        </w:rPr>
        <w:t>Assist</w:t>
      </w:r>
      <w:r w:rsidR="003D5C93">
        <w:rPr>
          <w:rFonts w:cs="Arial"/>
        </w:rPr>
        <w:t xml:space="preserve"> resolution of current issues related to the application of the</w:t>
      </w:r>
      <w:r w:rsidR="005E01FD">
        <w:rPr>
          <w:rFonts w:cs="Arial"/>
        </w:rPr>
        <w:t xml:space="preserve"> Victorian</w:t>
      </w:r>
      <w:r w:rsidR="003D5C93">
        <w:rPr>
          <w:rFonts w:cs="Arial"/>
        </w:rPr>
        <w:t xml:space="preserve"> </w:t>
      </w:r>
      <w:r w:rsidR="003D5C93" w:rsidRPr="005E01FD">
        <w:rPr>
          <w:rFonts w:cs="Arial"/>
          <w:i/>
        </w:rPr>
        <w:t>Public Health and Wellbeing Act</w:t>
      </w:r>
      <w:r w:rsidR="005E01FD" w:rsidRPr="005E01FD">
        <w:rPr>
          <w:rFonts w:cs="Arial"/>
          <w:i/>
        </w:rPr>
        <w:t xml:space="preserve"> 2008</w:t>
      </w:r>
      <w:r w:rsidR="003D5C93">
        <w:rPr>
          <w:rFonts w:cs="Arial"/>
        </w:rPr>
        <w:t xml:space="preserve"> in regard to the handling of noise </w:t>
      </w:r>
      <w:r>
        <w:rPr>
          <w:rFonts w:cs="Arial"/>
        </w:rPr>
        <w:t xml:space="preserve">nuisance </w:t>
      </w:r>
      <w:r w:rsidR="003D5C93">
        <w:rPr>
          <w:rFonts w:cs="Arial"/>
        </w:rPr>
        <w:t>complaints lodged under that Act.</w:t>
      </w:r>
    </w:p>
    <w:p w14:paraId="452A1865" w14:textId="77777777" w:rsidR="00947ED2" w:rsidRDefault="00947ED2" w:rsidP="00947ED2">
      <w:pPr>
        <w:ind w:left="720"/>
      </w:pPr>
    </w:p>
    <w:p w14:paraId="7AF6B2F4" w14:textId="77777777" w:rsidR="00947ED2" w:rsidRDefault="00947ED2">
      <w:pPr>
        <w:rPr>
          <w:rFonts w:cs="Arial"/>
          <w:b/>
          <w:caps/>
        </w:rPr>
      </w:pPr>
      <w:r>
        <w:br w:type="page"/>
      </w:r>
    </w:p>
    <w:p w14:paraId="58B409DC" w14:textId="77777777" w:rsidR="00785FA8" w:rsidRDefault="00785FA8" w:rsidP="005874E7">
      <w:pPr>
        <w:pStyle w:val="Heading1"/>
        <w:sectPr w:rsidR="00785FA8" w:rsidSect="00C90C75">
          <w:headerReference w:type="even" r:id="rId51"/>
          <w:headerReference w:type="default" r:id="rId52"/>
          <w:headerReference w:type="first" r:id="rId53"/>
          <w:pgSz w:w="11906" w:h="16838" w:code="9"/>
          <w:pgMar w:top="720" w:right="720" w:bottom="720" w:left="720" w:header="425" w:footer="425" w:gutter="0"/>
          <w:cols w:space="708"/>
          <w:docGrid w:linePitch="360"/>
        </w:sectPr>
      </w:pPr>
    </w:p>
    <w:p w14:paraId="653C39CB" w14:textId="012A8EC7" w:rsidR="005874E7" w:rsidRPr="00F47E6D" w:rsidRDefault="005874E7" w:rsidP="005874E7">
      <w:pPr>
        <w:pStyle w:val="Heading1"/>
      </w:pPr>
      <w:bookmarkStart w:id="31" w:name="_Toc511140623"/>
      <w:r w:rsidRPr="00F47E6D">
        <w:lastRenderedPageBreak/>
        <w:t>Glossary</w:t>
      </w:r>
      <w:bookmarkEnd w:id="31"/>
    </w:p>
    <w:tbl>
      <w:tblPr>
        <w:tblStyle w:val="TableGrid"/>
        <w:tblW w:w="0" w:type="auto"/>
        <w:tblLook w:val="04A0" w:firstRow="1" w:lastRow="0" w:firstColumn="1" w:lastColumn="0" w:noHBand="0" w:noVBand="1"/>
      </w:tblPr>
      <w:tblGrid>
        <w:gridCol w:w="2830"/>
        <w:gridCol w:w="7626"/>
      </w:tblGrid>
      <w:tr w:rsidR="005874E7" w:rsidRPr="00F47E6D" w14:paraId="3E7528DF" w14:textId="77777777" w:rsidTr="00C90C75">
        <w:trPr>
          <w:cnfStyle w:val="100000000000" w:firstRow="1" w:lastRow="0" w:firstColumn="0" w:lastColumn="0" w:oddVBand="0" w:evenVBand="0" w:oddHBand="0" w:evenHBand="0" w:firstRowFirstColumn="0" w:firstRowLastColumn="0" w:lastRowFirstColumn="0" w:lastRowLastColumn="0"/>
        </w:trPr>
        <w:tc>
          <w:tcPr>
            <w:tcW w:w="2830" w:type="dxa"/>
          </w:tcPr>
          <w:p w14:paraId="52820406" w14:textId="77777777" w:rsidR="005874E7" w:rsidRPr="00F47E6D" w:rsidRDefault="005874E7" w:rsidP="00C90C75">
            <w:pPr>
              <w:rPr>
                <w:rFonts w:cs="Arial"/>
              </w:rPr>
            </w:pPr>
            <w:r w:rsidRPr="00F47E6D">
              <w:rPr>
                <w:rFonts w:cs="Arial"/>
              </w:rPr>
              <w:t>A-weighted scale</w:t>
            </w:r>
          </w:p>
        </w:tc>
        <w:tc>
          <w:tcPr>
            <w:tcW w:w="7626" w:type="dxa"/>
          </w:tcPr>
          <w:p w14:paraId="60E14DDE" w14:textId="77777777" w:rsidR="005874E7" w:rsidRPr="00F47E6D" w:rsidRDefault="005874E7" w:rsidP="00C90C75">
            <w:pPr>
              <w:rPr>
                <w:rFonts w:cs="Arial"/>
              </w:rPr>
            </w:pPr>
            <w:r w:rsidRPr="00F47E6D">
              <w:rPr>
                <w:rFonts w:cs="Arial"/>
              </w:rPr>
              <w:t xml:space="preserve">A scale that is </w:t>
            </w:r>
            <w:r w:rsidRPr="00F47E6D">
              <w:rPr>
                <w:rFonts w:cs="Arial"/>
                <w:lang w:val="en"/>
              </w:rPr>
              <w:t>applied to instrument-measured sound levels to replicate the relative loudness perceived by the human ear</w:t>
            </w:r>
            <w:r>
              <w:rPr>
                <w:rFonts w:cs="Arial"/>
                <w:lang w:val="en"/>
              </w:rPr>
              <w:t>.</w:t>
            </w:r>
          </w:p>
        </w:tc>
      </w:tr>
      <w:tr w:rsidR="005874E7" w:rsidRPr="00F47E6D" w14:paraId="3E000815"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2FADCA14" w14:textId="77777777" w:rsidR="005874E7" w:rsidRPr="00F47E6D" w:rsidRDefault="005874E7" w:rsidP="00C90C75">
            <w:pPr>
              <w:rPr>
                <w:rFonts w:cs="Arial"/>
              </w:rPr>
            </w:pPr>
            <w:r w:rsidRPr="00F47E6D">
              <w:rPr>
                <w:rFonts w:cs="Arial"/>
              </w:rPr>
              <w:t>Amenity</w:t>
            </w:r>
          </w:p>
        </w:tc>
        <w:tc>
          <w:tcPr>
            <w:tcW w:w="7626" w:type="dxa"/>
          </w:tcPr>
          <w:p w14:paraId="392E3DA7" w14:textId="77777777" w:rsidR="005874E7" w:rsidRPr="00F47E6D" w:rsidRDefault="005874E7" w:rsidP="00C90C75">
            <w:pPr>
              <w:rPr>
                <w:rFonts w:cs="Arial"/>
              </w:rPr>
            </w:pPr>
            <w:r w:rsidRPr="00F47E6D">
              <w:rPr>
                <w:rFonts w:cs="Arial"/>
              </w:rPr>
              <w:t>The visual impact a wind farm has on the landscape</w:t>
            </w:r>
            <w:r>
              <w:rPr>
                <w:rFonts w:cs="Arial"/>
              </w:rPr>
              <w:t>.</w:t>
            </w:r>
          </w:p>
        </w:tc>
      </w:tr>
      <w:tr w:rsidR="005874E7" w:rsidRPr="00F47E6D" w14:paraId="43170749"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2242F45C" w14:textId="77777777" w:rsidR="005874E7" w:rsidRPr="00F47E6D" w:rsidRDefault="005874E7" w:rsidP="00C90C75">
            <w:pPr>
              <w:rPr>
                <w:rFonts w:cs="Arial"/>
              </w:rPr>
            </w:pPr>
            <w:r w:rsidRPr="00F47E6D">
              <w:rPr>
                <w:rFonts w:cs="Arial"/>
                <w:lang w:val="en"/>
              </w:rPr>
              <w:t>Australian Government</w:t>
            </w:r>
          </w:p>
        </w:tc>
        <w:tc>
          <w:tcPr>
            <w:tcW w:w="7626" w:type="dxa"/>
          </w:tcPr>
          <w:p w14:paraId="7DA52205" w14:textId="77777777" w:rsidR="005874E7" w:rsidRPr="00F47E6D" w:rsidRDefault="005874E7" w:rsidP="00C90C75">
            <w:pPr>
              <w:rPr>
                <w:rFonts w:cs="Arial"/>
              </w:rPr>
            </w:pPr>
            <w:r>
              <w:rPr>
                <w:rFonts w:cs="Arial"/>
              </w:rPr>
              <w:t>The Government of the Commonwealth of Australia (also referred to as Federal Government).</w:t>
            </w:r>
          </w:p>
        </w:tc>
      </w:tr>
      <w:tr w:rsidR="005874E7" w:rsidRPr="00F47E6D" w14:paraId="15D3BCE6"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657F63E5" w14:textId="77777777" w:rsidR="005874E7" w:rsidRPr="00F47E6D" w:rsidRDefault="005874E7" w:rsidP="00C90C75">
            <w:pPr>
              <w:rPr>
                <w:rFonts w:cs="Arial"/>
                <w:lang w:val="en"/>
              </w:rPr>
            </w:pPr>
            <w:r>
              <w:rPr>
                <w:rFonts w:cs="Arial"/>
                <w:lang w:val="en"/>
              </w:rPr>
              <w:t>Australian Wind Alliance (AWA)</w:t>
            </w:r>
          </w:p>
        </w:tc>
        <w:tc>
          <w:tcPr>
            <w:tcW w:w="7626" w:type="dxa"/>
          </w:tcPr>
          <w:p w14:paraId="63282301" w14:textId="77777777" w:rsidR="005874E7" w:rsidRPr="00AC073A" w:rsidRDefault="005874E7" w:rsidP="00C90C75">
            <w:pPr>
              <w:rPr>
                <w:rFonts w:cs="Arial"/>
              </w:rPr>
            </w:pPr>
            <w:r>
              <w:rPr>
                <w:rFonts w:cs="Helvetica"/>
                <w:lang w:val="en"/>
              </w:rPr>
              <w:t>A</w:t>
            </w:r>
            <w:r w:rsidRPr="00AC073A">
              <w:rPr>
                <w:rFonts w:cs="Helvetica"/>
                <w:lang w:val="en"/>
              </w:rPr>
              <w:t xml:space="preserve"> </w:t>
            </w:r>
            <w:r>
              <w:rPr>
                <w:rFonts w:cs="Helvetica"/>
                <w:lang w:val="en"/>
              </w:rPr>
              <w:t>not-for</w:t>
            </w:r>
            <w:r w:rsidRPr="00AC073A">
              <w:rPr>
                <w:rFonts w:cs="Helvetica"/>
                <w:lang w:val="en"/>
              </w:rPr>
              <w:t xml:space="preserve">-profit organisation </w:t>
            </w:r>
            <w:r>
              <w:rPr>
                <w:rFonts w:cs="Helvetica"/>
                <w:lang w:val="en"/>
              </w:rPr>
              <w:t xml:space="preserve">that </w:t>
            </w:r>
            <w:r>
              <w:rPr>
                <w:rFonts w:cs="Arial"/>
                <w:lang w:val="en"/>
              </w:rPr>
              <w:t xml:space="preserve">supports the </w:t>
            </w:r>
            <w:r w:rsidRPr="00AC073A">
              <w:rPr>
                <w:rFonts w:cs="Helvetica"/>
                <w:lang w:val="en"/>
              </w:rPr>
              <w:t>wind energy</w:t>
            </w:r>
            <w:r>
              <w:rPr>
                <w:rFonts w:cs="Helvetica"/>
                <w:lang w:val="en"/>
              </w:rPr>
              <w:t xml:space="preserve"> industry in Australia, with the objectives of boosting regional economies and reducing pollution and greenhouse emissions.</w:t>
            </w:r>
          </w:p>
        </w:tc>
      </w:tr>
      <w:tr w:rsidR="005874E7" w:rsidRPr="00F47E6D" w14:paraId="14F43F1B"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77028DBB" w14:textId="77777777" w:rsidR="005874E7" w:rsidRDefault="005874E7" w:rsidP="00C90C75">
            <w:pPr>
              <w:rPr>
                <w:rFonts w:cs="Arial"/>
                <w:lang w:val="en"/>
              </w:rPr>
            </w:pPr>
            <w:r>
              <w:rPr>
                <w:rFonts w:cs="Arial"/>
                <w:lang w:val="en"/>
              </w:rPr>
              <w:t>Clean Energy Council (CEC)</w:t>
            </w:r>
          </w:p>
        </w:tc>
        <w:tc>
          <w:tcPr>
            <w:tcW w:w="7626" w:type="dxa"/>
          </w:tcPr>
          <w:p w14:paraId="38043865" w14:textId="77777777" w:rsidR="005874E7" w:rsidRPr="00AC073A" w:rsidRDefault="005874E7" w:rsidP="00C90C75">
            <w:pPr>
              <w:autoSpaceDE w:val="0"/>
              <w:autoSpaceDN w:val="0"/>
              <w:adjustRightInd w:val="0"/>
              <w:spacing w:line="264" w:lineRule="auto"/>
              <w:rPr>
                <w:rFonts w:cs="Arial"/>
                <w:lang w:val="en"/>
              </w:rPr>
            </w:pPr>
            <w:r>
              <w:rPr>
                <w:rFonts w:cs="Arial"/>
                <w:lang w:val="en"/>
              </w:rPr>
              <w:t>The peak</w:t>
            </w:r>
            <w:r>
              <w:rPr>
                <w:rFonts w:cs="Helvetica"/>
                <w:lang w:val="en"/>
              </w:rPr>
              <w:t xml:space="preserve"> not-for</w:t>
            </w:r>
            <w:r w:rsidRPr="00AC073A">
              <w:rPr>
                <w:rFonts w:cs="Helvetica"/>
                <w:lang w:val="en"/>
              </w:rPr>
              <w:t>-profit</w:t>
            </w:r>
            <w:r w:rsidRPr="005F66A5">
              <w:rPr>
                <w:rFonts w:cs="Arial"/>
                <w:lang w:val="en"/>
              </w:rPr>
              <w:t xml:space="preserve"> </w:t>
            </w:r>
            <w:r>
              <w:rPr>
                <w:rFonts w:cs="Arial"/>
                <w:lang w:val="en"/>
              </w:rPr>
              <w:t>organisation supporting the clean energy industry in Australia. The CEC represents a range of clean energy sectors</w:t>
            </w:r>
            <w:r w:rsidRPr="005F66A5">
              <w:rPr>
                <w:rFonts w:cs="Arial"/>
              </w:rPr>
              <w:t xml:space="preserve"> and work</w:t>
            </w:r>
            <w:r>
              <w:rPr>
                <w:rFonts w:cs="Arial"/>
              </w:rPr>
              <w:t>s</w:t>
            </w:r>
            <w:r w:rsidRPr="005F66A5">
              <w:rPr>
                <w:rFonts w:cs="Arial"/>
              </w:rPr>
              <w:t xml:space="preserve"> with governments</w:t>
            </w:r>
            <w:r>
              <w:rPr>
                <w:rFonts w:cs="Arial"/>
              </w:rPr>
              <w:t xml:space="preserve"> and other organisations </w:t>
            </w:r>
            <w:r w:rsidRPr="005F66A5">
              <w:rPr>
                <w:rFonts w:cs="Arial"/>
              </w:rPr>
              <w:t xml:space="preserve">to </w:t>
            </w:r>
            <w:r>
              <w:rPr>
                <w:rFonts w:cs="Arial"/>
              </w:rPr>
              <w:t xml:space="preserve">promote the </w:t>
            </w:r>
            <w:r w:rsidRPr="005F66A5">
              <w:rPr>
                <w:rFonts w:cs="Arial"/>
              </w:rPr>
              <w:t>industry</w:t>
            </w:r>
            <w:r>
              <w:rPr>
                <w:rFonts w:cs="Arial"/>
              </w:rPr>
              <w:t>.</w:t>
            </w:r>
          </w:p>
        </w:tc>
      </w:tr>
      <w:tr w:rsidR="005874E7" w:rsidRPr="00F47E6D" w14:paraId="7DD38856"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79259C10" w14:textId="77777777" w:rsidR="005874E7" w:rsidRDefault="005874E7" w:rsidP="00C90C75">
            <w:pPr>
              <w:rPr>
                <w:rFonts w:cs="Arial"/>
                <w:lang w:val="en"/>
              </w:rPr>
            </w:pPr>
            <w:r>
              <w:rPr>
                <w:rFonts w:cs="Arial"/>
                <w:lang w:val="en"/>
              </w:rPr>
              <w:t>Community Consultative Committee (CCC)</w:t>
            </w:r>
          </w:p>
        </w:tc>
        <w:tc>
          <w:tcPr>
            <w:tcW w:w="7626" w:type="dxa"/>
          </w:tcPr>
          <w:p w14:paraId="32E106ED" w14:textId="77777777" w:rsidR="005874E7" w:rsidRDefault="005874E7" w:rsidP="00C90C75">
            <w:pPr>
              <w:autoSpaceDE w:val="0"/>
              <w:autoSpaceDN w:val="0"/>
              <w:adjustRightInd w:val="0"/>
              <w:spacing w:line="264" w:lineRule="auto"/>
              <w:rPr>
                <w:rFonts w:cs="Arial"/>
                <w:lang w:val="en"/>
              </w:rPr>
            </w:pPr>
            <w:r w:rsidRPr="00AC073A">
              <w:rPr>
                <w:rFonts w:cs="Arial"/>
                <w:lang w:val="en"/>
              </w:rPr>
              <w:t xml:space="preserve">A CCC is </w:t>
            </w:r>
            <w:r>
              <w:rPr>
                <w:rFonts w:cs="Arial"/>
                <w:lang w:val="en"/>
              </w:rPr>
              <w:t>a membership that is</w:t>
            </w:r>
            <w:r w:rsidRPr="00AC073A">
              <w:rPr>
                <w:rFonts w:cs="Arial"/>
                <w:lang w:val="en"/>
              </w:rPr>
              <w:t xml:space="preserve"> set up </w:t>
            </w:r>
            <w:r w:rsidRPr="00AC073A">
              <w:rPr>
                <w:rFonts w:cs="Arial"/>
                <w:lang w:val="en-US"/>
              </w:rPr>
              <w:t>to facilitate consultation between wind farm developers, the community, local councils and other stakeholders that may be involved in the development phase or operation of a wind farm.</w:t>
            </w:r>
          </w:p>
        </w:tc>
      </w:tr>
      <w:tr w:rsidR="005874E7" w:rsidRPr="00F47E6D" w14:paraId="09292D4D"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37224E11" w14:textId="77777777" w:rsidR="005874E7" w:rsidRPr="00F47E6D" w:rsidRDefault="005874E7" w:rsidP="00C90C75">
            <w:pPr>
              <w:rPr>
                <w:rFonts w:cs="Arial"/>
              </w:rPr>
            </w:pPr>
            <w:r w:rsidRPr="00F47E6D">
              <w:rPr>
                <w:rFonts w:cs="Arial"/>
                <w:lang w:val="en"/>
              </w:rPr>
              <w:t>Community Association</w:t>
            </w:r>
          </w:p>
        </w:tc>
        <w:tc>
          <w:tcPr>
            <w:tcW w:w="7626" w:type="dxa"/>
          </w:tcPr>
          <w:p w14:paraId="3A19C1B6" w14:textId="77777777" w:rsidR="005874E7" w:rsidRPr="00F47E6D" w:rsidRDefault="005874E7" w:rsidP="00C90C75">
            <w:pPr>
              <w:rPr>
                <w:rFonts w:cs="Arial"/>
              </w:rPr>
            </w:pPr>
            <w:r>
              <w:rPr>
                <w:rFonts w:cs="Arial"/>
              </w:rPr>
              <w:t>A non-governmental association of participating members of a community who facilitate representative community engagement in the development process.</w:t>
            </w:r>
          </w:p>
        </w:tc>
      </w:tr>
      <w:tr w:rsidR="005874E7" w:rsidRPr="00F47E6D" w14:paraId="443C5A02"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0BBB8FB5" w14:textId="77777777" w:rsidR="005874E7" w:rsidRPr="00F47E6D" w:rsidRDefault="005874E7" w:rsidP="00C90C75">
            <w:pPr>
              <w:rPr>
                <w:rFonts w:cs="Arial"/>
              </w:rPr>
            </w:pPr>
            <w:r w:rsidRPr="00F47E6D">
              <w:rPr>
                <w:rFonts w:cs="Arial"/>
                <w:lang w:val="en"/>
              </w:rPr>
              <w:t>Community Engagement</w:t>
            </w:r>
          </w:p>
        </w:tc>
        <w:tc>
          <w:tcPr>
            <w:tcW w:w="7626" w:type="dxa"/>
          </w:tcPr>
          <w:p w14:paraId="3584D717" w14:textId="77777777" w:rsidR="005874E7" w:rsidRPr="00F47E6D" w:rsidRDefault="005874E7" w:rsidP="00C90C75">
            <w:pPr>
              <w:rPr>
                <w:rFonts w:cs="Arial"/>
              </w:rPr>
            </w:pPr>
            <w:r>
              <w:rPr>
                <w:rFonts w:cs="Arial"/>
              </w:rPr>
              <w:t>The consultative process of wind farm developers supporting the participation of community members in the development process.</w:t>
            </w:r>
          </w:p>
        </w:tc>
      </w:tr>
      <w:tr w:rsidR="005874E7" w:rsidRPr="00F47E6D" w14:paraId="7DB92BE3"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5A55D199" w14:textId="77777777" w:rsidR="005874E7" w:rsidRPr="00F47E6D" w:rsidRDefault="005874E7" w:rsidP="00C90C75">
            <w:pPr>
              <w:rPr>
                <w:rFonts w:cs="Arial"/>
              </w:rPr>
            </w:pPr>
            <w:r w:rsidRPr="00F47E6D">
              <w:rPr>
                <w:rFonts w:cs="Arial"/>
              </w:rPr>
              <w:t>Commercial Dispute</w:t>
            </w:r>
          </w:p>
        </w:tc>
        <w:tc>
          <w:tcPr>
            <w:tcW w:w="7626" w:type="dxa"/>
          </w:tcPr>
          <w:p w14:paraId="2956B060" w14:textId="77777777" w:rsidR="005874E7" w:rsidRPr="00F47E6D" w:rsidRDefault="005874E7" w:rsidP="00C90C75">
            <w:pPr>
              <w:rPr>
                <w:rFonts w:cs="Arial"/>
              </w:rPr>
            </w:pPr>
            <w:r w:rsidRPr="00F47E6D">
              <w:rPr>
                <w:rFonts w:cs="Arial"/>
              </w:rPr>
              <w:t>An issue regarding the contractual goods or services of a wind farm whereby financial compensation has been sought</w:t>
            </w:r>
            <w:r>
              <w:rPr>
                <w:rFonts w:cs="Arial"/>
              </w:rPr>
              <w:t xml:space="preserve"> by a party (for example, a host or a neighbour).</w:t>
            </w:r>
          </w:p>
        </w:tc>
      </w:tr>
      <w:tr w:rsidR="005874E7" w:rsidRPr="00F47E6D" w14:paraId="404A80D1"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43D59B93" w14:textId="77777777" w:rsidR="005874E7" w:rsidRPr="00F47E6D" w:rsidRDefault="005874E7" w:rsidP="00C90C75">
            <w:pPr>
              <w:rPr>
                <w:rFonts w:cs="Arial"/>
              </w:rPr>
            </w:pPr>
            <w:r w:rsidRPr="00F47E6D">
              <w:rPr>
                <w:rFonts w:cs="Arial"/>
              </w:rPr>
              <w:t>Complainant</w:t>
            </w:r>
          </w:p>
        </w:tc>
        <w:tc>
          <w:tcPr>
            <w:tcW w:w="7626" w:type="dxa"/>
          </w:tcPr>
          <w:p w14:paraId="74BE36D5" w14:textId="77777777" w:rsidR="005874E7" w:rsidRPr="00F47E6D" w:rsidRDefault="005874E7" w:rsidP="00C90C75">
            <w:pPr>
              <w:rPr>
                <w:rFonts w:cs="Arial"/>
              </w:rPr>
            </w:pPr>
            <w:r w:rsidRPr="00F47E6D">
              <w:rPr>
                <w:rFonts w:cs="Arial"/>
              </w:rPr>
              <w:t>One or more resident(s) from a residence who has contacted the Office for the purpose of making a complaint</w:t>
            </w:r>
            <w:r>
              <w:rPr>
                <w:rFonts w:cs="Arial"/>
              </w:rPr>
              <w:t>.</w:t>
            </w:r>
          </w:p>
        </w:tc>
      </w:tr>
      <w:tr w:rsidR="005874E7" w:rsidRPr="00F47E6D" w14:paraId="0F997F92"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053C9A16" w14:textId="77777777" w:rsidR="005874E7" w:rsidRPr="00F47E6D" w:rsidRDefault="005874E7" w:rsidP="00C90C75">
            <w:pPr>
              <w:rPr>
                <w:rFonts w:cs="Arial"/>
              </w:rPr>
            </w:pPr>
            <w:r w:rsidRPr="00F47E6D">
              <w:rPr>
                <w:rFonts w:cs="Arial"/>
                <w:lang w:val="en"/>
              </w:rPr>
              <w:t>Concerned Resident</w:t>
            </w:r>
          </w:p>
        </w:tc>
        <w:tc>
          <w:tcPr>
            <w:tcW w:w="7626" w:type="dxa"/>
          </w:tcPr>
          <w:p w14:paraId="00EFEE66" w14:textId="77777777" w:rsidR="005874E7" w:rsidRPr="00A815D8" w:rsidRDefault="005874E7" w:rsidP="00C90C75">
            <w:pPr>
              <w:rPr>
                <w:rFonts w:cs="Arial"/>
              </w:rPr>
            </w:pPr>
            <w:r w:rsidRPr="00A815D8">
              <w:rPr>
                <w:rFonts w:cs="Arial"/>
              </w:rPr>
              <w:t xml:space="preserve">A person </w:t>
            </w:r>
            <w:r w:rsidRPr="00D4498E">
              <w:rPr>
                <w:rFonts w:eastAsia="Times New Roman" w:cs="Arial"/>
              </w:rPr>
              <w:t>who resides in a dwelling within proximity to a proposed or operating wind farm facility</w:t>
            </w:r>
            <w:r>
              <w:rPr>
                <w:rFonts w:eastAsia="Times New Roman" w:cs="Arial"/>
              </w:rPr>
              <w:t>, who holds concerns about potential impacts of the proposed or operating wind farm and may make a complaint to the Commissioner.</w:t>
            </w:r>
          </w:p>
        </w:tc>
      </w:tr>
      <w:tr w:rsidR="005874E7" w:rsidRPr="00F47E6D" w14:paraId="0B5677B1"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0EBFC694" w14:textId="77777777" w:rsidR="005874E7" w:rsidRPr="00F47E6D" w:rsidRDefault="005874E7" w:rsidP="00C90C75">
            <w:pPr>
              <w:rPr>
                <w:rFonts w:cs="Arial"/>
              </w:rPr>
            </w:pPr>
            <w:r w:rsidRPr="00F47E6D">
              <w:rPr>
                <w:rFonts w:cs="Arial"/>
              </w:rPr>
              <w:t>Construction</w:t>
            </w:r>
          </w:p>
        </w:tc>
        <w:tc>
          <w:tcPr>
            <w:tcW w:w="7626" w:type="dxa"/>
          </w:tcPr>
          <w:p w14:paraId="6E31E621" w14:textId="77777777" w:rsidR="005874E7" w:rsidRPr="00F47E6D" w:rsidRDefault="005874E7" w:rsidP="00C90C75">
            <w:pPr>
              <w:rPr>
                <w:rFonts w:cs="Arial"/>
              </w:rPr>
            </w:pPr>
            <w:r w:rsidRPr="00F47E6D">
              <w:rPr>
                <w:rFonts w:cs="Arial"/>
              </w:rPr>
              <w:t>The stage in which the wind farm includi</w:t>
            </w:r>
            <w:r>
              <w:rPr>
                <w:rFonts w:cs="Arial"/>
              </w:rPr>
              <w:t>ng access roads is being built.</w:t>
            </w:r>
            <w:r w:rsidRPr="00F47E6D">
              <w:rPr>
                <w:rFonts w:cs="Arial"/>
              </w:rPr>
              <w:t xml:space="preserve"> The construction stage may last a number of years</w:t>
            </w:r>
            <w:r>
              <w:rPr>
                <w:rFonts w:cs="Arial"/>
              </w:rPr>
              <w:t>.</w:t>
            </w:r>
          </w:p>
        </w:tc>
      </w:tr>
      <w:tr w:rsidR="005874E7" w:rsidRPr="00F47E6D" w14:paraId="1834AA7E"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0F3A6831" w14:textId="77777777" w:rsidR="005874E7" w:rsidRPr="00F47E6D" w:rsidRDefault="005874E7" w:rsidP="00C90C75">
            <w:pPr>
              <w:rPr>
                <w:rFonts w:cs="Arial"/>
              </w:rPr>
            </w:pPr>
            <w:r>
              <w:rPr>
                <w:rFonts w:cs="Arial"/>
              </w:rPr>
              <w:t>dB</w:t>
            </w:r>
          </w:p>
        </w:tc>
        <w:tc>
          <w:tcPr>
            <w:tcW w:w="7626" w:type="dxa"/>
          </w:tcPr>
          <w:p w14:paraId="4EBBDDB1" w14:textId="77777777" w:rsidR="005874E7" w:rsidRPr="00F47E6D" w:rsidRDefault="005874E7" w:rsidP="00C90C75">
            <w:pPr>
              <w:rPr>
                <w:rFonts w:cs="Arial"/>
              </w:rPr>
            </w:pPr>
            <w:r>
              <w:rPr>
                <w:rFonts w:cs="Arial"/>
              </w:rPr>
              <w:t>Decibels, a measurement unit used to describe the level or intensity (loudness) of a sound.</w:t>
            </w:r>
          </w:p>
        </w:tc>
      </w:tr>
      <w:tr w:rsidR="005874E7" w:rsidRPr="00F47E6D" w14:paraId="47624CF4"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377D596C" w14:textId="77777777" w:rsidR="005874E7" w:rsidRPr="00F47E6D" w:rsidRDefault="005874E7" w:rsidP="00C90C75">
            <w:pPr>
              <w:rPr>
                <w:rFonts w:cs="Arial"/>
              </w:rPr>
            </w:pPr>
            <w:r w:rsidRPr="00F47E6D">
              <w:rPr>
                <w:rFonts w:cs="Arial"/>
              </w:rPr>
              <w:t>dB(A)</w:t>
            </w:r>
          </w:p>
        </w:tc>
        <w:tc>
          <w:tcPr>
            <w:tcW w:w="7626" w:type="dxa"/>
          </w:tcPr>
          <w:p w14:paraId="5EDC602B" w14:textId="77777777" w:rsidR="005874E7" w:rsidRPr="00F47E6D" w:rsidRDefault="005874E7" w:rsidP="00C90C75">
            <w:pPr>
              <w:rPr>
                <w:rFonts w:cs="Arial"/>
              </w:rPr>
            </w:pPr>
            <w:r w:rsidRPr="00300F30">
              <w:rPr>
                <w:rFonts w:cs="Arial"/>
                <w:lang w:val="en"/>
              </w:rPr>
              <w:t xml:space="preserve">A-weighted decibels, a measurement </w:t>
            </w:r>
            <w:r>
              <w:rPr>
                <w:rFonts w:cs="Arial"/>
                <w:lang w:val="en"/>
              </w:rPr>
              <w:t xml:space="preserve">unit that used </w:t>
            </w:r>
            <w:r w:rsidRPr="00300F30">
              <w:rPr>
                <w:rFonts w:cs="Arial"/>
                <w:lang w:val="en"/>
              </w:rPr>
              <w:t>to express the relative loudness of sounds in air as perceived by the human ear.</w:t>
            </w:r>
          </w:p>
        </w:tc>
      </w:tr>
      <w:tr w:rsidR="005874E7" w:rsidRPr="00F47E6D" w14:paraId="098E4F8C"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212F05BC" w14:textId="77777777" w:rsidR="005874E7" w:rsidRPr="00F47E6D" w:rsidRDefault="005874E7" w:rsidP="00C90C75">
            <w:pPr>
              <w:rPr>
                <w:rFonts w:cs="Arial"/>
                <w:lang w:val="en"/>
              </w:rPr>
            </w:pPr>
            <w:r w:rsidRPr="00F47E6D">
              <w:rPr>
                <w:rFonts w:cs="Arial"/>
                <w:lang w:val="en"/>
              </w:rPr>
              <w:t>dB(C)</w:t>
            </w:r>
          </w:p>
        </w:tc>
        <w:tc>
          <w:tcPr>
            <w:tcW w:w="7626" w:type="dxa"/>
          </w:tcPr>
          <w:p w14:paraId="23FBAFA7" w14:textId="77777777" w:rsidR="005874E7" w:rsidRPr="00F47E6D" w:rsidRDefault="005874E7" w:rsidP="00C90C75">
            <w:pPr>
              <w:rPr>
                <w:rFonts w:cs="Arial"/>
              </w:rPr>
            </w:pPr>
            <w:r>
              <w:rPr>
                <w:rFonts w:cs="Arial"/>
                <w:lang w:val="en"/>
              </w:rPr>
              <w:t>C</w:t>
            </w:r>
            <w:r w:rsidRPr="00F47E6D">
              <w:rPr>
                <w:rFonts w:cs="Arial"/>
                <w:lang w:val="en"/>
              </w:rPr>
              <w:t xml:space="preserve">-weighted decibels, a </w:t>
            </w:r>
            <w:r>
              <w:rPr>
                <w:rFonts w:cs="Arial"/>
                <w:lang w:val="en"/>
              </w:rPr>
              <w:t>measurement unit that is</w:t>
            </w:r>
            <w:r>
              <w:rPr>
                <w:rFonts w:cs="Arial"/>
              </w:rPr>
              <w:t xml:space="preserve"> used to measure low-frequency noise.</w:t>
            </w:r>
          </w:p>
        </w:tc>
      </w:tr>
      <w:tr w:rsidR="005874E7" w:rsidRPr="00F47E6D" w14:paraId="6D42ABCF"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338E51FA" w14:textId="77777777" w:rsidR="005874E7" w:rsidRPr="00F47E6D" w:rsidRDefault="005874E7" w:rsidP="00C90C75">
            <w:pPr>
              <w:rPr>
                <w:rFonts w:cs="Arial"/>
                <w:lang w:val="en"/>
              </w:rPr>
            </w:pPr>
            <w:r w:rsidRPr="00F47E6D">
              <w:rPr>
                <w:rFonts w:cs="Arial"/>
                <w:lang w:val="en"/>
              </w:rPr>
              <w:t>dB(G)</w:t>
            </w:r>
          </w:p>
        </w:tc>
        <w:tc>
          <w:tcPr>
            <w:tcW w:w="7626" w:type="dxa"/>
          </w:tcPr>
          <w:p w14:paraId="75EBAC6C" w14:textId="77777777" w:rsidR="005874E7" w:rsidRPr="00F47E6D" w:rsidRDefault="005874E7" w:rsidP="00C90C75">
            <w:pPr>
              <w:rPr>
                <w:rFonts w:cs="Arial"/>
              </w:rPr>
            </w:pPr>
            <w:r>
              <w:rPr>
                <w:rFonts w:cs="Arial"/>
                <w:lang w:val="en"/>
              </w:rPr>
              <w:t>G</w:t>
            </w:r>
            <w:r w:rsidRPr="00F47E6D">
              <w:rPr>
                <w:rFonts w:cs="Arial"/>
                <w:lang w:val="en"/>
              </w:rPr>
              <w:t xml:space="preserve">-weighted decibels, a measurement </w:t>
            </w:r>
            <w:r>
              <w:rPr>
                <w:rFonts w:cs="Arial"/>
                <w:lang w:val="en"/>
              </w:rPr>
              <w:t xml:space="preserve">unit that is </w:t>
            </w:r>
            <w:r w:rsidRPr="00F47E6D">
              <w:rPr>
                <w:rFonts w:cs="Arial"/>
                <w:lang w:val="en"/>
              </w:rPr>
              <w:t xml:space="preserve">used to </w:t>
            </w:r>
            <w:r>
              <w:rPr>
                <w:rFonts w:cs="Arial"/>
                <w:lang w:val="en"/>
              </w:rPr>
              <w:t>measure to infrasound.</w:t>
            </w:r>
          </w:p>
        </w:tc>
      </w:tr>
      <w:tr w:rsidR="005874E7" w:rsidRPr="00F47E6D" w14:paraId="2C3A85AC"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31C618B7" w14:textId="77777777" w:rsidR="005874E7" w:rsidRPr="00F47E6D" w:rsidRDefault="005874E7" w:rsidP="00C90C75">
            <w:pPr>
              <w:rPr>
                <w:rFonts w:cs="Arial"/>
              </w:rPr>
            </w:pPr>
            <w:r w:rsidRPr="00F47E6D">
              <w:rPr>
                <w:rFonts w:cs="Arial"/>
              </w:rPr>
              <w:t>Economic Loss</w:t>
            </w:r>
          </w:p>
        </w:tc>
        <w:tc>
          <w:tcPr>
            <w:tcW w:w="7626" w:type="dxa"/>
          </w:tcPr>
          <w:p w14:paraId="17AEE958" w14:textId="77777777" w:rsidR="005874E7" w:rsidRPr="00F47E6D" w:rsidRDefault="005874E7" w:rsidP="00C90C75">
            <w:pPr>
              <w:rPr>
                <w:rFonts w:cs="Arial"/>
              </w:rPr>
            </w:pPr>
            <w:r>
              <w:rPr>
                <w:rFonts w:cs="Arial"/>
              </w:rPr>
              <w:t>The potential negative impact that a proposed or developed wind farm may have on a particular community or individuals within a community. This is typically the loss or perceived loss of property values or business within proximity to a proposed or operating wind farm.</w:t>
            </w:r>
          </w:p>
        </w:tc>
      </w:tr>
      <w:tr w:rsidR="005874E7" w:rsidRPr="00F47E6D" w14:paraId="41D95E53"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5C26F3DF" w14:textId="77777777" w:rsidR="005874E7" w:rsidRPr="00F47E6D" w:rsidRDefault="005874E7" w:rsidP="00C90C75">
            <w:pPr>
              <w:rPr>
                <w:rFonts w:cs="Arial"/>
              </w:rPr>
            </w:pPr>
            <w:r w:rsidRPr="00F47E6D">
              <w:rPr>
                <w:rFonts w:cs="Arial"/>
                <w:lang w:val="en"/>
              </w:rPr>
              <w:t>Expert</w:t>
            </w:r>
          </w:p>
        </w:tc>
        <w:tc>
          <w:tcPr>
            <w:tcW w:w="7626" w:type="dxa"/>
          </w:tcPr>
          <w:p w14:paraId="5D668A6D" w14:textId="77777777" w:rsidR="005874E7" w:rsidRPr="00F47E6D" w:rsidRDefault="005874E7" w:rsidP="00C90C75">
            <w:pPr>
              <w:rPr>
                <w:rFonts w:cs="Arial"/>
              </w:rPr>
            </w:pPr>
            <w:r>
              <w:rPr>
                <w:rFonts w:cs="Arial"/>
              </w:rPr>
              <w:t>A person who has special skill, knowledge or authority in a particularly field of study.</w:t>
            </w:r>
          </w:p>
        </w:tc>
      </w:tr>
      <w:tr w:rsidR="005874E7" w:rsidRPr="00F47E6D" w14:paraId="7DA135A9"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4B04711D" w14:textId="77777777" w:rsidR="005874E7" w:rsidRPr="00F47E6D" w:rsidRDefault="005874E7" w:rsidP="00C90C75">
            <w:pPr>
              <w:rPr>
                <w:rFonts w:cs="Arial"/>
              </w:rPr>
            </w:pPr>
            <w:r w:rsidRPr="00F47E6D">
              <w:rPr>
                <w:rFonts w:cs="Arial"/>
                <w:lang w:val="en"/>
              </w:rPr>
              <w:t>Health</w:t>
            </w:r>
          </w:p>
        </w:tc>
        <w:tc>
          <w:tcPr>
            <w:tcW w:w="7626" w:type="dxa"/>
          </w:tcPr>
          <w:p w14:paraId="04745302" w14:textId="77777777" w:rsidR="005874E7" w:rsidRPr="00F47E6D" w:rsidRDefault="005874E7" w:rsidP="00C90C75">
            <w:pPr>
              <w:rPr>
                <w:rFonts w:cs="Arial"/>
              </w:rPr>
            </w:pPr>
            <w:r>
              <w:rPr>
                <w:rFonts w:cs="Arial"/>
              </w:rPr>
              <w:t>General physical or mental condition of a concerned resident.</w:t>
            </w:r>
          </w:p>
        </w:tc>
      </w:tr>
      <w:tr w:rsidR="005874E7" w:rsidRPr="00F47E6D" w14:paraId="6D5AF69E"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2C948E9B" w14:textId="77777777" w:rsidR="005874E7" w:rsidRPr="00F47E6D" w:rsidRDefault="005874E7" w:rsidP="00C90C75">
            <w:pPr>
              <w:rPr>
                <w:rFonts w:cs="Arial"/>
                <w:lang w:val="en"/>
              </w:rPr>
            </w:pPr>
            <w:r>
              <w:rPr>
                <w:rFonts w:cs="Arial"/>
                <w:lang w:val="en"/>
              </w:rPr>
              <w:t>Hz</w:t>
            </w:r>
          </w:p>
        </w:tc>
        <w:tc>
          <w:tcPr>
            <w:tcW w:w="7626" w:type="dxa"/>
          </w:tcPr>
          <w:p w14:paraId="5A2F8DAC" w14:textId="77777777" w:rsidR="005874E7" w:rsidRDefault="005874E7" w:rsidP="00C90C75">
            <w:pPr>
              <w:rPr>
                <w:rFonts w:cs="Arial"/>
              </w:rPr>
            </w:pPr>
            <w:r w:rsidRPr="000F313C">
              <w:rPr>
                <w:rFonts w:cs="Arial"/>
              </w:rPr>
              <w:t xml:space="preserve">Hertz, </w:t>
            </w:r>
            <w:r w:rsidRPr="000F313C">
              <w:rPr>
                <w:rStyle w:val="st1"/>
                <w:rFonts w:cs="Arial"/>
              </w:rPr>
              <w:t xml:space="preserve">a unit which measures the frequency of sound waves, perceived by the human ear as pitch. </w:t>
            </w:r>
            <w:r w:rsidRPr="000F313C">
              <w:rPr>
                <w:rFonts w:cs="Arial"/>
              </w:rPr>
              <w:t xml:space="preserve">The typical </w:t>
            </w:r>
            <w:r>
              <w:rPr>
                <w:rFonts w:cs="Arial"/>
              </w:rPr>
              <w:t>range of human hearing is 20</w:t>
            </w:r>
            <w:r>
              <w:rPr>
                <w:rFonts w:cs="Arial"/>
              </w:rPr>
              <w:noBreakHyphen/>
              <w:t>20,</w:t>
            </w:r>
            <w:r w:rsidRPr="000F313C">
              <w:rPr>
                <w:rFonts w:cs="Arial"/>
              </w:rPr>
              <w:t>000 hz.</w:t>
            </w:r>
          </w:p>
        </w:tc>
      </w:tr>
      <w:tr w:rsidR="005874E7" w:rsidRPr="00F47E6D" w14:paraId="7FB6B15F"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55B40442" w14:textId="77777777" w:rsidR="005874E7" w:rsidRPr="00F47E6D" w:rsidRDefault="005874E7" w:rsidP="00C90C75">
            <w:pPr>
              <w:rPr>
                <w:rFonts w:cs="Arial"/>
              </w:rPr>
            </w:pPr>
            <w:r w:rsidRPr="00F47E6D">
              <w:rPr>
                <w:rFonts w:cs="Arial"/>
                <w:lang w:val="en"/>
              </w:rPr>
              <w:t>Industry Association</w:t>
            </w:r>
          </w:p>
        </w:tc>
        <w:tc>
          <w:tcPr>
            <w:tcW w:w="7626" w:type="dxa"/>
          </w:tcPr>
          <w:p w14:paraId="7614315D" w14:textId="77777777" w:rsidR="005874E7" w:rsidRPr="00F47E6D" w:rsidRDefault="005874E7" w:rsidP="00C90C75">
            <w:pPr>
              <w:rPr>
                <w:rFonts w:cs="Arial"/>
              </w:rPr>
            </w:pPr>
            <w:r>
              <w:rPr>
                <w:rFonts w:cs="Arial"/>
              </w:rPr>
              <w:t>An organisation founded and funded by businesses and other parties that have an interest in the wind energy industry.</w:t>
            </w:r>
          </w:p>
        </w:tc>
      </w:tr>
      <w:tr w:rsidR="005874E7" w:rsidRPr="00F47E6D" w14:paraId="39B9E4FC"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1EBF7BA1" w14:textId="77777777" w:rsidR="005874E7" w:rsidRPr="00F47E6D" w:rsidRDefault="005874E7" w:rsidP="00C90C75">
            <w:pPr>
              <w:rPr>
                <w:rFonts w:cs="Arial"/>
              </w:rPr>
            </w:pPr>
            <w:r w:rsidRPr="00F47E6D">
              <w:rPr>
                <w:rFonts w:cs="Arial"/>
                <w:lang w:val="en"/>
              </w:rPr>
              <w:t>Industry Member</w:t>
            </w:r>
          </w:p>
        </w:tc>
        <w:tc>
          <w:tcPr>
            <w:tcW w:w="7626" w:type="dxa"/>
          </w:tcPr>
          <w:p w14:paraId="32F69B8B" w14:textId="77777777" w:rsidR="005874E7" w:rsidRPr="00F47E6D" w:rsidRDefault="005874E7" w:rsidP="00C90C75">
            <w:pPr>
              <w:rPr>
                <w:rFonts w:cs="Arial"/>
              </w:rPr>
            </w:pPr>
            <w:r>
              <w:rPr>
                <w:rFonts w:cs="Arial"/>
              </w:rPr>
              <w:t>Employee or other party who is involved as a member of an industry association.</w:t>
            </w:r>
          </w:p>
        </w:tc>
      </w:tr>
      <w:tr w:rsidR="005874E7" w:rsidRPr="00F47E6D" w14:paraId="6ABA8C61"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2B9267F2" w14:textId="77777777" w:rsidR="005874E7" w:rsidRPr="00F47E6D" w:rsidRDefault="005874E7" w:rsidP="00C90C75">
            <w:pPr>
              <w:rPr>
                <w:rFonts w:cs="Arial"/>
              </w:rPr>
            </w:pPr>
            <w:r w:rsidRPr="00F47E6D">
              <w:rPr>
                <w:rFonts w:cs="Arial"/>
                <w:lang w:val="en"/>
              </w:rPr>
              <w:t>Infrasound</w:t>
            </w:r>
          </w:p>
        </w:tc>
        <w:tc>
          <w:tcPr>
            <w:tcW w:w="7626" w:type="dxa"/>
          </w:tcPr>
          <w:p w14:paraId="2AAA84EF" w14:textId="77777777" w:rsidR="005874E7" w:rsidRPr="00F47E6D" w:rsidRDefault="005874E7" w:rsidP="00C90C75">
            <w:pPr>
              <w:rPr>
                <w:rFonts w:cs="Arial"/>
              </w:rPr>
            </w:pPr>
            <w:r w:rsidRPr="00F47E6D">
              <w:rPr>
                <w:rStyle w:val="tgc"/>
                <w:rFonts w:cs="Arial"/>
              </w:rPr>
              <w:t>Sound that is lower in frequency than 20 Hz or cycles per second, the ‘normal’ limit of human hearing.</w:t>
            </w:r>
          </w:p>
        </w:tc>
      </w:tr>
      <w:tr w:rsidR="005874E7" w:rsidRPr="00F47E6D" w14:paraId="5128B372"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11A850FD" w14:textId="77777777" w:rsidR="005874E7" w:rsidRPr="00F47E6D" w:rsidRDefault="005874E7" w:rsidP="00C90C75">
            <w:pPr>
              <w:rPr>
                <w:rFonts w:cs="Arial"/>
                <w:lang w:val="en"/>
              </w:rPr>
            </w:pPr>
            <w:r>
              <w:rPr>
                <w:rFonts w:cs="Arial"/>
              </w:rPr>
              <w:t>ISCOWT - Independent Scientific Committee on Wind Turbines</w:t>
            </w:r>
          </w:p>
        </w:tc>
        <w:tc>
          <w:tcPr>
            <w:tcW w:w="7626" w:type="dxa"/>
          </w:tcPr>
          <w:p w14:paraId="0137B508" w14:textId="77777777" w:rsidR="005874E7" w:rsidRPr="00F47E6D" w:rsidRDefault="005874E7" w:rsidP="00C90C75">
            <w:pPr>
              <w:rPr>
                <w:rStyle w:val="tgc"/>
                <w:rFonts w:cs="Arial"/>
              </w:rPr>
            </w:pPr>
            <w:r>
              <w:rPr>
                <w:lang w:val="en"/>
              </w:rPr>
              <w:t>An independent, multidisciplinary, expert group established in 2015 by the then Minister for the Environment, the Hon Greg Hunt. The Committee was primarily established to investigate and provide advice on the potential impacts of sound from wind turbines.</w:t>
            </w:r>
          </w:p>
        </w:tc>
      </w:tr>
      <w:tr w:rsidR="005874E7" w:rsidRPr="00F47E6D" w14:paraId="1E5A1F63"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2178F775" w14:textId="77777777" w:rsidR="005874E7" w:rsidRPr="00F47E6D" w:rsidRDefault="005874E7" w:rsidP="00C90C75">
            <w:pPr>
              <w:rPr>
                <w:rFonts w:cs="Arial"/>
                <w:lang w:val="en"/>
              </w:rPr>
            </w:pPr>
            <w:r w:rsidRPr="00F47E6D">
              <w:rPr>
                <w:rFonts w:cs="Arial"/>
              </w:rPr>
              <w:t>L</w:t>
            </w:r>
            <w:r w:rsidRPr="00F47E6D">
              <w:rPr>
                <w:rFonts w:cs="Arial"/>
                <w:vertAlign w:val="subscript"/>
              </w:rPr>
              <w:t>A90,10min</w:t>
            </w:r>
          </w:p>
        </w:tc>
        <w:tc>
          <w:tcPr>
            <w:tcW w:w="7626" w:type="dxa"/>
          </w:tcPr>
          <w:p w14:paraId="38B9F6AE" w14:textId="77777777" w:rsidR="005874E7" w:rsidRPr="00F47E6D" w:rsidRDefault="005874E7" w:rsidP="00C90C75">
            <w:pPr>
              <w:rPr>
                <w:rFonts w:cs="Arial"/>
              </w:rPr>
            </w:pPr>
            <w:r>
              <w:rPr>
                <w:rFonts w:cs="Arial"/>
              </w:rPr>
              <w:t>T</w:t>
            </w:r>
            <w:r w:rsidRPr="00F47E6D">
              <w:rPr>
                <w:rFonts w:cs="Arial"/>
              </w:rPr>
              <w:t xml:space="preserve">he A-weighted sound pressure level, obtained by using the fast time-weighting, that is equal to or exceeded for </w:t>
            </w:r>
            <w:r>
              <w:rPr>
                <w:rFonts w:cs="Arial"/>
              </w:rPr>
              <w:t>90% of a 10</w:t>
            </w:r>
            <w:r w:rsidRPr="00F47E6D">
              <w:rPr>
                <w:rFonts w:cs="Arial"/>
              </w:rPr>
              <w:t xml:space="preserve"> minute time interval. The values for individual 10 minute time periods are highly variable and a function of the hub height wind speed. The actual value for a particular hub height wind speed is determined by best fitting a polynomial function of hub height wind speed, which can be up to fo</w:t>
            </w:r>
            <w:r>
              <w:rPr>
                <w:rFonts w:cs="Arial"/>
              </w:rPr>
              <w:t>urth order, to the individual 10</w:t>
            </w:r>
            <w:r w:rsidRPr="00F47E6D">
              <w:rPr>
                <w:rFonts w:cs="Arial"/>
              </w:rPr>
              <w:t xml:space="preserve"> minute time period L</w:t>
            </w:r>
            <w:r w:rsidRPr="00F47E6D">
              <w:rPr>
                <w:rFonts w:cs="Arial"/>
                <w:vertAlign w:val="subscript"/>
              </w:rPr>
              <w:t>A90,10min</w:t>
            </w:r>
            <w:r w:rsidRPr="00F47E6D">
              <w:rPr>
                <w:rFonts w:cs="Arial"/>
              </w:rPr>
              <w:t xml:space="preserve"> values when the wind turbines are operating. It is corrected to remove the effect of the </w:t>
            </w:r>
            <w:r w:rsidRPr="00F47E6D">
              <w:rPr>
                <w:rFonts w:cs="Arial"/>
              </w:rPr>
              <w:lastRenderedPageBreak/>
              <w:t>background noise by subtracting a background noise function determined in the same way when the wind turbines are not operating.</w:t>
            </w:r>
          </w:p>
          <w:p w14:paraId="51394D5F" w14:textId="77777777" w:rsidR="005874E7" w:rsidRPr="00F47E6D" w:rsidRDefault="005874E7" w:rsidP="00C90C75">
            <w:pPr>
              <w:rPr>
                <w:rStyle w:val="tgc"/>
                <w:rFonts w:cs="Arial"/>
              </w:rPr>
            </w:pPr>
            <w:r w:rsidRPr="00F47E6D">
              <w:rPr>
                <w:rFonts w:cs="Arial"/>
              </w:rPr>
              <w:t>For example, for a particular hub height wind speed, the L</w:t>
            </w:r>
            <w:r w:rsidRPr="00F47E6D">
              <w:rPr>
                <w:rFonts w:cs="Arial"/>
                <w:vertAlign w:val="subscript"/>
              </w:rPr>
              <w:t>A90,10min</w:t>
            </w:r>
            <w:r w:rsidRPr="00F47E6D">
              <w:rPr>
                <w:rFonts w:cs="Arial"/>
              </w:rPr>
              <w:t xml:space="preserve"> function determined as described above must be le</w:t>
            </w:r>
            <w:r>
              <w:rPr>
                <w:rFonts w:cs="Arial"/>
              </w:rPr>
              <w:t>ss than the greater of 35 </w:t>
            </w:r>
            <w:r w:rsidRPr="00F47E6D">
              <w:rPr>
                <w:rFonts w:cs="Arial"/>
              </w:rPr>
              <w:t>dB and the background noise function determined as described above plus 5 dB.</w:t>
            </w:r>
          </w:p>
        </w:tc>
      </w:tr>
      <w:tr w:rsidR="005874E7" w:rsidRPr="00F47E6D" w14:paraId="6AE6E3C0"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0272E5B2" w14:textId="77777777" w:rsidR="005874E7" w:rsidRPr="00F47E6D" w:rsidRDefault="005874E7" w:rsidP="00C90C75">
            <w:pPr>
              <w:rPr>
                <w:rFonts w:cs="Arial"/>
                <w:lang w:val="en"/>
              </w:rPr>
            </w:pPr>
            <w:r w:rsidRPr="00F47E6D">
              <w:rPr>
                <w:rFonts w:cs="Arial"/>
              </w:rPr>
              <w:lastRenderedPageBreak/>
              <w:t>Micro-siting</w:t>
            </w:r>
          </w:p>
        </w:tc>
        <w:tc>
          <w:tcPr>
            <w:tcW w:w="7626" w:type="dxa"/>
          </w:tcPr>
          <w:p w14:paraId="0CE29125" w14:textId="77777777" w:rsidR="005874E7" w:rsidRPr="00F47E6D" w:rsidRDefault="005874E7" w:rsidP="00C90C75">
            <w:pPr>
              <w:rPr>
                <w:rStyle w:val="tgc"/>
                <w:rFonts w:cs="Arial"/>
              </w:rPr>
            </w:pPr>
            <w:r w:rsidRPr="00F47E6D">
              <w:rPr>
                <w:rStyle w:val="tgc"/>
                <w:rFonts w:cs="Arial"/>
              </w:rPr>
              <w:t>The process whereby the specific location of a wind turbine is determined</w:t>
            </w:r>
            <w:r>
              <w:rPr>
                <w:rStyle w:val="tgc"/>
                <w:rFonts w:cs="Arial"/>
              </w:rPr>
              <w:t>.</w:t>
            </w:r>
          </w:p>
        </w:tc>
      </w:tr>
      <w:tr w:rsidR="005874E7" w:rsidRPr="00F47E6D" w14:paraId="14DF2414"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36BC2D22" w14:textId="77777777" w:rsidR="005874E7" w:rsidRPr="00F47E6D" w:rsidRDefault="005874E7" w:rsidP="00C90C75">
            <w:pPr>
              <w:rPr>
                <w:rFonts w:cs="Arial"/>
                <w:lang w:val="en"/>
              </w:rPr>
            </w:pPr>
            <w:r w:rsidRPr="00E00EB7">
              <w:rPr>
                <w:rFonts w:ascii="Helvetica" w:eastAsia="Times New Roman" w:hAnsi="Helvetica" w:cs="Helvetica"/>
                <w:color w:val="000000"/>
              </w:rPr>
              <w:t>National Health and Medical Research Council (NHMRC</w:t>
            </w:r>
            <w:r>
              <w:rPr>
                <w:rFonts w:ascii="Helvetica" w:eastAsia="Times New Roman" w:hAnsi="Helvetica" w:cs="Helvetica"/>
                <w:color w:val="000000"/>
              </w:rPr>
              <w:t>)</w:t>
            </w:r>
          </w:p>
        </w:tc>
        <w:tc>
          <w:tcPr>
            <w:tcW w:w="7626" w:type="dxa"/>
          </w:tcPr>
          <w:p w14:paraId="6C1C4DBC" w14:textId="77777777" w:rsidR="005874E7" w:rsidRPr="00F47E6D" w:rsidRDefault="005874E7" w:rsidP="00C90C75">
            <w:pPr>
              <w:rPr>
                <w:rStyle w:val="tgc"/>
                <w:rFonts w:cs="Arial"/>
              </w:rPr>
            </w:pPr>
            <w:r w:rsidRPr="00674543">
              <w:rPr>
                <w:rFonts w:eastAsia="Times New Roman" w:cs="Arial"/>
                <w:lang w:val="en"/>
              </w:rPr>
              <w:t>An independent statutory agency and expert body that promotes the development and maintenance of public and individual health standards. NHMRC provides research funding and development of advice, drawing upon a broad range of resources.</w:t>
            </w:r>
          </w:p>
        </w:tc>
      </w:tr>
      <w:tr w:rsidR="005874E7" w:rsidRPr="00F47E6D" w14:paraId="3DAB033F"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4F77D3A1" w14:textId="77777777" w:rsidR="005874E7" w:rsidRPr="00F47E6D" w:rsidRDefault="005874E7" w:rsidP="00C90C75">
            <w:pPr>
              <w:rPr>
                <w:rStyle w:val="tgc"/>
                <w:rFonts w:cs="Arial"/>
              </w:rPr>
            </w:pPr>
            <w:r w:rsidRPr="00F47E6D">
              <w:rPr>
                <w:rStyle w:val="tgc"/>
                <w:rFonts w:cs="Arial"/>
              </w:rPr>
              <w:t>Natural Environment</w:t>
            </w:r>
          </w:p>
        </w:tc>
        <w:tc>
          <w:tcPr>
            <w:tcW w:w="7626" w:type="dxa"/>
          </w:tcPr>
          <w:p w14:paraId="42FEA274" w14:textId="77777777" w:rsidR="005874E7" w:rsidRPr="00F47E6D" w:rsidRDefault="005874E7" w:rsidP="00C90C75">
            <w:pPr>
              <w:rPr>
                <w:rStyle w:val="tgc"/>
                <w:rFonts w:cs="Arial"/>
              </w:rPr>
            </w:pPr>
            <w:r>
              <w:rPr>
                <w:rStyle w:val="tgc"/>
                <w:rFonts w:cs="Arial"/>
              </w:rPr>
              <w:t>The land, water, biodiversity, flora and fauna and the naturally occurring ecological processes that may be impacted by the development or operation of a wind farm.</w:t>
            </w:r>
          </w:p>
        </w:tc>
      </w:tr>
      <w:tr w:rsidR="005874E7" w:rsidRPr="00F47E6D" w14:paraId="5D0B6ECF"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64A8702F" w14:textId="77777777" w:rsidR="005874E7" w:rsidRPr="00F47E6D" w:rsidRDefault="005874E7" w:rsidP="00C90C75">
            <w:pPr>
              <w:rPr>
                <w:rFonts w:cs="Arial"/>
              </w:rPr>
            </w:pPr>
            <w:r>
              <w:rPr>
                <w:rStyle w:val="tgc"/>
                <w:rFonts w:cs="Arial"/>
              </w:rPr>
              <w:t>Neighbour</w:t>
            </w:r>
          </w:p>
        </w:tc>
        <w:tc>
          <w:tcPr>
            <w:tcW w:w="7626" w:type="dxa"/>
          </w:tcPr>
          <w:p w14:paraId="2CE4B549" w14:textId="77777777" w:rsidR="005874E7" w:rsidRPr="00674543" w:rsidRDefault="005874E7" w:rsidP="00C90C75">
            <w:pPr>
              <w:spacing w:line="264" w:lineRule="auto"/>
              <w:rPr>
                <w:rFonts w:eastAsia="Times New Roman" w:cs="Arial"/>
                <w:lang w:val="en"/>
              </w:rPr>
            </w:pPr>
            <w:r>
              <w:rPr>
                <w:rFonts w:cs="Arial"/>
              </w:rPr>
              <w:t>A resident of a property</w:t>
            </w:r>
            <w:r w:rsidRPr="00F47E6D">
              <w:rPr>
                <w:rFonts w:cs="Arial"/>
              </w:rPr>
              <w:t xml:space="preserve"> </w:t>
            </w:r>
            <w:r>
              <w:rPr>
                <w:rFonts w:cs="Arial"/>
              </w:rPr>
              <w:t xml:space="preserve">that is </w:t>
            </w:r>
            <w:r w:rsidRPr="00F47E6D">
              <w:rPr>
                <w:rFonts w:cs="Arial"/>
              </w:rPr>
              <w:t xml:space="preserve">within </w:t>
            </w:r>
            <w:r>
              <w:rPr>
                <w:rFonts w:cs="Arial"/>
              </w:rPr>
              <w:t xml:space="preserve">close </w:t>
            </w:r>
            <w:r w:rsidRPr="00F47E6D">
              <w:rPr>
                <w:rFonts w:cs="Arial"/>
              </w:rPr>
              <w:t xml:space="preserve">proximity to </w:t>
            </w:r>
            <w:r>
              <w:rPr>
                <w:rFonts w:cs="Arial"/>
              </w:rPr>
              <w:t xml:space="preserve">a </w:t>
            </w:r>
            <w:r w:rsidRPr="00F47E6D">
              <w:rPr>
                <w:rFonts w:cs="Arial"/>
              </w:rPr>
              <w:t xml:space="preserve">wind farm </w:t>
            </w:r>
            <w:r>
              <w:rPr>
                <w:rFonts w:cs="Arial"/>
              </w:rPr>
              <w:t>turbine/s, but does not host the turbine.</w:t>
            </w:r>
          </w:p>
        </w:tc>
      </w:tr>
      <w:tr w:rsidR="005874E7" w:rsidRPr="00F47E6D" w14:paraId="17F29139"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1AA6EB5F" w14:textId="77777777" w:rsidR="005874E7" w:rsidRPr="00E00EB7" w:rsidRDefault="005874E7" w:rsidP="00C90C75">
            <w:pPr>
              <w:rPr>
                <w:rFonts w:ascii="Helvetica" w:eastAsia="Times New Roman" w:hAnsi="Helvetica" w:cs="Helvetica"/>
                <w:color w:val="000000"/>
              </w:rPr>
            </w:pPr>
            <w:r w:rsidRPr="00F47E6D">
              <w:rPr>
                <w:rFonts w:cs="Arial"/>
              </w:rPr>
              <w:t>NZS 6808:1998</w:t>
            </w:r>
          </w:p>
        </w:tc>
        <w:tc>
          <w:tcPr>
            <w:tcW w:w="7626" w:type="dxa"/>
          </w:tcPr>
          <w:p w14:paraId="10A04BC5" w14:textId="77777777" w:rsidR="005874E7" w:rsidRPr="006B14B3" w:rsidRDefault="005874E7" w:rsidP="00C90C75">
            <w:pPr>
              <w:autoSpaceDE w:val="0"/>
              <w:autoSpaceDN w:val="0"/>
              <w:adjustRightInd w:val="0"/>
              <w:spacing w:line="264" w:lineRule="auto"/>
              <w:rPr>
                <w:rFonts w:cs="Arial"/>
              </w:rPr>
            </w:pPr>
            <w:r w:rsidRPr="006B14B3">
              <w:rPr>
                <w:rFonts w:cs="Arial"/>
              </w:rPr>
              <w:t>A recognised standard in New Zealand introduced in 1998 that provides methods for the prediction, measurement and assessment of sound from wind turbines.</w:t>
            </w:r>
          </w:p>
          <w:p w14:paraId="70877724" w14:textId="77777777" w:rsidR="005874E7" w:rsidRPr="006B466D" w:rsidRDefault="005874E7" w:rsidP="00C90C75">
            <w:pPr>
              <w:autoSpaceDE w:val="0"/>
              <w:autoSpaceDN w:val="0"/>
              <w:adjustRightInd w:val="0"/>
              <w:spacing w:line="264" w:lineRule="auto"/>
              <w:rPr>
                <w:rFonts w:cs="Arial"/>
                <w:i/>
                <w:iCs/>
              </w:rPr>
            </w:pPr>
            <w:r w:rsidRPr="006B14B3">
              <w:rPr>
                <w:rFonts w:cs="Arial"/>
              </w:rPr>
              <w:t xml:space="preserve">This standard was based on the United Kingdom 1996 </w:t>
            </w:r>
            <w:r>
              <w:rPr>
                <w:rFonts w:cs="Arial"/>
              </w:rPr>
              <w:t>Energy Technology Support Unit (</w:t>
            </w:r>
            <w:r w:rsidRPr="006B14B3">
              <w:rPr>
                <w:rFonts w:cs="Arial"/>
              </w:rPr>
              <w:t>ETSU</w:t>
            </w:r>
            <w:r>
              <w:rPr>
                <w:rFonts w:cs="Arial"/>
              </w:rPr>
              <w:t>)</w:t>
            </w:r>
            <w:r w:rsidRPr="006B14B3">
              <w:rPr>
                <w:rFonts w:cs="Arial"/>
              </w:rPr>
              <w:t xml:space="preserve"> report</w:t>
            </w:r>
            <w:r w:rsidRPr="006B466D">
              <w:rPr>
                <w:rFonts w:cs="Arial"/>
              </w:rPr>
              <w:t xml:space="preserve"> </w:t>
            </w:r>
            <w:r w:rsidRPr="006B466D">
              <w:rPr>
                <w:rFonts w:cs="Arial"/>
                <w:i/>
                <w:iCs/>
              </w:rPr>
              <w:t>The assessment and rating of noise from</w:t>
            </w:r>
            <w:r>
              <w:rPr>
                <w:rFonts w:cs="Arial"/>
                <w:i/>
                <w:iCs/>
              </w:rPr>
              <w:t xml:space="preserve"> wind farms</w:t>
            </w:r>
            <w:r w:rsidRPr="006B466D">
              <w:rPr>
                <w:rFonts w:cs="Arial"/>
                <w:i/>
                <w:iCs/>
              </w:rPr>
              <w:t xml:space="preserve"> </w:t>
            </w:r>
            <w:r>
              <w:rPr>
                <w:rFonts w:cs="Arial"/>
                <w:iCs/>
              </w:rPr>
              <w:t>(</w:t>
            </w:r>
            <w:r>
              <w:rPr>
                <w:rFonts w:cs="Arial"/>
              </w:rPr>
              <w:t xml:space="preserve">ETSU-R-97, </w:t>
            </w:r>
            <w:r w:rsidRPr="006B466D">
              <w:rPr>
                <w:rFonts w:cs="Arial"/>
              </w:rPr>
              <w:t>1996)</w:t>
            </w:r>
            <w:r>
              <w:rPr>
                <w:rFonts w:cs="Arial"/>
              </w:rPr>
              <w:t>. H</w:t>
            </w:r>
            <w:r w:rsidRPr="006B14B3">
              <w:rPr>
                <w:rFonts w:cs="Arial"/>
              </w:rPr>
              <w:t>owever</w:t>
            </w:r>
            <w:r>
              <w:rPr>
                <w:rFonts w:cs="Arial"/>
              </w:rPr>
              <w:t xml:space="preserve"> the New Zealand standard</w:t>
            </w:r>
            <w:r w:rsidRPr="006B14B3">
              <w:rPr>
                <w:rFonts w:cs="Arial"/>
              </w:rPr>
              <w:t xml:space="preserve"> introduced the L95 measurement </w:t>
            </w:r>
            <w:r>
              <w:rPr>
                <w:rFonts w:cs="Arial"/>
              </w:rPr>
              <w:t xml:space="preserve">used to describe background </w:t>
            </w:r>
            <w:r w:rsidRPr="006B14B3">
              <w:rPr>
                <w:rFonts w:cs="Arial"/>
              </w:rPr>
              <w:t xml:space="preserve">sound in New Zealand. </w:t>
            </w:r>
            <w:r>
              <w:rPr>
                <w:rFonts w:cs="Arial"/>
              </w:rPr>
              <w:t xml:space="preserve">The standard </w:t>
            </w:r>
            <w:r w:rsidRPr="006B14B3">
              <w:rPr>
                <w:rFonts w:cs="Arial"/>
              </w:rPr>
              <w:t>limi</w:t>
            </w:r>
            <w:r>
              <w:rPr>
                <w:rFonts w:cs="Arial"/>
              </w:rPr>
              <w:t xml:space="preserve">t was 40dB, with a </w:t>
            </w:r>
            <w:r w:rsidRPr="006B14B3">
              <w:rPr>
                <w:rFonts w:cs="Arial"/>
              </w:rPr>
              <w:t>‘background +5 dB’ variable</w:t>
            </w:r>
            <w:r>
              <w:rPr>
                <w:rFonts w:cs="Arial"/>
              </w:rPr>
              <w:t>.</w:t>
            </w:r>
            <w:r w:rsidRPr="006B14B3">
              <w:rPr>
                <w:rFonts w:cs="Arial"/>
              </w:rPr>
              <w:t xml:space="preserve"> </w:t>
            </w:r>
            <w:r>
              <w:rPr>
                <w:rFonts w:cs="Arial"/>
              </w:rPr>
              <w:t xml:space="preserve">This standard was used for all wind </w:t>
            </w:r>
            <w:r w:rsidRPr="006B14B3">
              <w:rPr>
                <w:rFonts w:cs="Arial"/>
              </w:rPr>
              <w:t>farms in New Zealand</w:t>
            </w:r>
            <w:r>
              <w:rPr>
                <w:rFonts w:cs="Arial"/>
              </w:rPr>
              <w:t xml:space="preserve"> until the introduction of the 2010 standard and was also adopted in</w:t>
            </w:r>
            <w:r w:rsidRPr="006B14B3">
              <w:rPr>
                <w:rFonts w:cs="Arial"/>
              </w:rPr>
              <w:t xml:space="preserve"> Victoria prior to 2010</w:t>
            </w:r>
            <w:r>
              <w:rPr>
                <w:rFonts w:cs="Arial"/>
              </w:rPr>
              <w:t>.</w:t>
            </w:r>
          </w:p>
        </w:tc>
      </w:tr>
      <w:tr w:rsidR="005874E7" w:rsidRPr="00F47E6D" w14:paraId="0B35A8B8"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4FB9F5F9" w14:textId="77777777" w:rsidR="005874E7" w:rsidRPr="00F47E6D" w:rsidRDefault="005874E7" w:rsidP="00C90C75">
            <w:pPr>
              <w:rPr>
                <w:rFonts w:cs="Arial"/>
              </w:rPr>
            </w:pPr>
            <w:r w:rsidRPr="00F47E6D">
              <w:rPr>
                <w:rFonts w:cs="Arial"/>
              </w:rPr>
              <w:t>NZS 6808:</w:t>
            </w:r>
            <w:r>
              <w:rPr>
                <w:rFonts w:cs="Arial"/>
              </w:rPr>
              <w:t>2010</w:t>
            </w:r>
          </w:p>
        </w:tc>
        <w:tc>
          <w:tcPr>
            <w:tcW w:w="7626" w:type="dxa"/>
          </w:tcPr>
          <w:p w14:paraId="2C1E2920" w14:textId="77777777" w:rsidR="005874E7" w:rsidRPr="002340D9" w:rsidRDefault="005874E7" w:rsidP="00C90C75">
            <w:pPr>
              <w:autoSpaceDE w:val="0"/>
              <w:autoSpaceDN w:val="0"/>
              <w:adjustRightInd w:val="0"/>
              <w:spacing w:line="264" w:lineRule="auto"/>
              <w:rPr>
                <w:rFonts w:cs="Arial"/>
              </w:rPr>
            </w:pPr>
            <w:r w:rsidRPr="002340D9">
              <w:rPr>
                <w:rFonts w:cs="Arial"/>
              </w:rPr>
              <w:t>A recognised standard in New Zealand introduced in 2010 that provides methods for the prediction, measurement and assessment of sound from wind turbines. This standard succeeded the 1998 version</w:t>
            </w:r>
            <w:r>
              <w:rPr>
                <w:rFonts w:cs="Arial"/>
              </w:rPr>
              <w:t>.</w:t>
            </w:r>
          </w:p>
          <w:p w14:paraId="1C1C7809" w14:textId="77777777" w:rsidR="005874E7" w:rsidRPr="002340D9" w:rsidRDefault="005874E7" w:rsidP="00C90C75">
            <w:pPr>
              <w:autoSpaceDE w:val="0"/>
              <w:autoSpaceDN w:val="0"/>
              <w:adjustRightInd w:val="0"/>
              <w:spacing w:line="264" w:lineRule="auto"/>
              <w:rPr>
                <w:rFonts w:cs="Arial"/>
              </w:rPr>
            </w:pPr>
            <w:r>
              <w:rPr>
                <w:rFonts w:cs="Arial"/>
              </w:rPr>
              <w:t>While the</w:t>
            </w:r>
            <w:r w:rsidRPr="002340D9">
              <w:rPr>
                <w:rFonts w:cs="Arial"/>
              </w:rPr>
              <w:t xml:space="preserve"> 1998 version was </w:t>
            </w:r>
            <w:r>
              <w:rPr>
                <w:rFonts w:cs="Arial"/>
              </w:rPr>
              <w:t>introduced</w:t>
            </w:r>
            <w:r w:rsidRPr="002340D9">
              <w:rPr>
                <w:rFonts w:cs="Arial"/>
              </w:rPr>
              <w:t xml:space="preserve"> prior to significant wind farm develo</w:t>
            </w:r>
            <w:r>
              <w:rPr>
                <w:rFonts w:cs="Arial"/>
              </w:rPr>
              <w:t>pment in New Zealand</w:t>
            </w:r>
            <w:r w:rsidRPr="002340D9">
              <w:rPr>
                <w:rFonts w:cs="Arial"/>
              </w:rPr>
              <w:t xml:space="preserve">, </w:t>
            </w:r>
            <w:r>
              <w:rPr>
                <w:rFonts w:cs="Arial"/>
              </w:rPr>
              <w:t>a number of</w:t>
            </w:r>
            <w:r w:rsidRPr="002340D9">
              <w:rPr>
                <w:rFonts w:cs="Arial"/>
              </w:rPr>
              <w:t xml:space="preserve"> technical refinements and inc</w:t>
            </w:r>
            <w:r>
              <w:rPr>
                <w:rFonts w:cs="Arial"/>
              </w:rPr>
              <w:t>remental enhancements</w:t>
            </w:r>
            <w:r w:rsidRPr="002340D9">
              <w:rPr>
                <w:rFonts w:cs="Arial"/>
              </w:rPr>
              <w:t xml:space="preserve"> </w:t>
            </w:r>
            <w:r>
              <w:rPr>
                <w:rFonts w:cs="Arial"/>
              </w:rPr>
              <w:t>were included in the</w:t>
            </w:r>
            <w:r w:rsidRPr="002340D9">
              <w:rPr>
                <w:rFonts w:cs="Arial"/>
              </w:rPr>
              <w:t xml:space="preserve"> 2010 </w:t>
            </w:r>
            <w:r>
              <w:rPr>
                <w:rFonts w:cs="Arial"/>
              </w:rPr>
              <w:t>standard</w:t>
            </w:r>
            <w:r w:rsidRPr="002340D9">
              <w:rPr>
                <w:rFonts w:cs="Arial"/>
              </w:rPr>
              <w:t>.</w:t>
            </w:r>
            <w:r>
              <w:rPr>
                <w:rFonts w:cs="Arial"/>
              </w:rPr>
              <w:t xml:space="preserve"> Notably, the standard also provided</w:t>
            </w:r>
            <w:r w:rsidRPr="002340D9">
              <w:rPr>
                <w:rFonts w:cs="Arial"/>
              </w:rPr>
              <w:t xml:space="preserve"> for a mor</w:t>
            </w:r>
            <w:r>
              <w:rPr>
                <w:rFonts w:cs="Arial"/>
              </w:rPr>
              <w:t xml:space="preserve">e stringent ‘high amenity noise </w:t>
            </w:r>
            <w:r w:rsidRPr="002340D9">
              <w:rPr>
                <w:rFonts w:cs="Arial"/>
              </w:rPr>
              <w:t xml:space="preserve">limit’ </w:t>
            </w:r>
            <w:r>
              <w:rPr>
                <w:rFonts w:cs="Arial"/>
              </w:rPr>
              <w:t xml:space="preserve">in </w:t>
            </w:r>
            <w:r w:rsidRPr="002340D9">
              <w:rPr>
                <w:rFonts w:cs="Arial"/>
              </w:rPr>
              <w:t>special local circumstances.</w:t>
            </w:r>
          </w:p>
        </w:tc>
      </w:tr>
      <w:tr w:rsidR="005874E7" w:rsidRPr="00F47E6D" w14:paraId="63284613"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24965E35" w14:textId="77777777" w:rsidR="005874E7" w:rsidRPr="00F47E6D" w:rsidRDefault="005874E7" w:rsidP="00C90C75">
            <w:pPr>
              <w:rPr>
                <w:rFonts w:cs="Arial"/>
                <w:lang w:val="en"/>
              </w:rPr>
            </w:pPr>
            <w:r w:rsidRPr="00F47E6D">
              <w:rPr>
                <w:rStyle w:val="tgc"/>
                <w:rFonts w:cs="Arial"/>
              </w:rPr>
              <w:t>Ombudsman</w:t>
            </w:r>
          </w:p>
        </w:tc>
        <w:tc>
          <w:tcPr>
            <w:tcW w:w="7626" w:type="dxa"/>
          </w:tcPr>
          <w:p w14:paraId="37A8D60B" w14:textId="77777777" w:rsidR="005874E7" w:rsidRPr="00F47E6D" w:rsidRDefault="005874E7" w:rsidP="00C90C75">
            <w:pPr>
              <w:rPr>
                <w:rStyle w:val="tgc"/>
                <w:rFonts w:cs="Arial"/>
              </w:rPr>
            </w:pPr>
            <w:r w:rsidRPr="002F6417">
              <w:rPr>
                <w:rStyle w:val="st1"/>
                <w:rFonts w:cs="Arial"/>
              </w:rPr>
              <w:t>Appointed authority to assist the public by investigating and resolving complaints on a specified issue.</w:t>
            </w:r>
          </w:p>
        </w:tc>
      </w:tr>
      <w:tr w:rsidR="005874E7" w:rsidRPr="00F47E6D" w14:paraId="20721716"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1B153E31" w14:textId="77777777" w:rsidR="005874E7" w:rsidRPr="00F47E6D" w:rsidRDefault="005874E7" w:rsidP="00C90C75">
            <w:pPr>
              <w:rPr>
                <w:rFonts w:cs="Arial"/>
                <w:lang w:val="en"/>
              </w:rPr>
            </w:pPr>
            <w:r w:rsidRPr="00F47E6D">
              <w:rPr>
                <w:rStyle w:val="tgc"/>
                <w:rFonts w:cs="Arial"/>
              </w:rPr>
              <w:t>Planning Process</w:t>
            </w:r>
          </w:p>
        </w:tc>
        <w:tc>
          <w:tcPr>
            <w:tcW w:w="7626" w:type="dxa"/>
          </w:tcPr>
          <w:p w14:paraId="18FF97DF" w14:textId="77777777" w:rsidR="005874E7" w:rsidRPr="00F47E6D" w:rsidRDefault="005874E7" w:rsidP="00C90C75">
            <w:pPr>
              <w:rPr>
                <w:rStyle w:val="tgc"/>
                <w:rFonts w:cs="Arial"/>
              </w:rPr>
            </w:pPr>
            <w:r>
              <w:rPr>
                <w:rStyle w:val="tgc"/>
                <w:rFonts w:cs="Arial"/>
              </w:rPr>
              <w:t>A local, state or Federal Government process to determine whether a proposed project will be approved.</w:t>
            </w:r>
          </w:p>
        </w:tc>
      </w:tr>
      <w:tr w:rsidR="005874E7" w:rsidRPr="00F47E6D" w14:paraId="18178323"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53EC6EFF" w14:textId="77777777" w:rsidR="005874E7" w:rsidRPr="00F47E6D" w:rsidRDefault="005874E7" w:rsidP="00C90C75">
            <w:pPr>
              <w:rPr>
                <w:rFonts w:cs="Arial"/>
                <w:lang w:val="en"/>
              </w:rPr>
            </w:pPr>
            <w:r w:rsidRPr="00F47E6D">
              <w:rPr>
                <w:rStyle w:val="st1"/>
                <w:rFonts w:cs="Arial"/>
              </w:rPr>
              <w:t>Responsible Authority</w:t>
            </w:r>
          </w:p>
        </w:tc>
        <w:tc>
          <w:tcPr>
            <w:tcW w:w="7626" w:type="dxa"/>
          </w:tcPr>
          <w:p w14:paraId="306B1BD5" w14:textId="77777777" w:rsidR="005874E7" w:rsidRPr="00F47E6D" w:rsidRDefault="005874E7" w:rsidP="00C90C75">
            <w:pPr>
              <w:rPr>
                <w:rStyle w:val="tgc"/>
                <w:rFonts w:cs="Arial"/>
              </w:rPr>
            </w:pPr>
            <w:r w:rsidRPr="00F47E6D">
              <w:rPr>
                <w:rStyle w:val="st1"/>
                <w:rFonts w:cs="Arial"/>
              </w:rPr>
              <w:t>The planning authority responsible for the project from a planning/approval/compliance perspective</w:t>
            </w:r>
            <w:r>
              <w:rPr>
                <w:rStyle w:val="st1"/>
                <w:rFonts w:cs="Arial"/>
              </w:rPr>
              <w:t>.</w:t>
            </w:r>
          </w:p>
        </w:tc>
      </w:tr>
      <w:tr w:rsidR="005874E7" w:rsidRPr="00F47E6D" w14:paraId="149F7277"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590E9780" w14:textId="77777777" w:rsidR="005874E7" w:rsidRPr="00F47E6D" w:rsidRDefault="005874E7" w:rsidP="00C90C75">
            <w:pPr>
              <w:rPr>
                <w:rFonts w:cs="Arial"/>
                <w:lang w:val="en"/>
              </w:rPr>
            </w:pPr>
            <w:r w:rsidRPr="00F47E6D">
              <w:rPr>
                <w:rFonts w:cs="Arial"/>
              </w:rPr>
              <w:t>Safety</w:t>
            </w:r>
          </w:p>
        </w:tc>
        <w:tc>
          <w:tcPr>
            <w:tcW w:w="7626" w:type="dxa"/>
          </w:tcPr>
          <w:p w14:paraId="1FD6F5C6" w14:textId="77777777" w:rsidR="005874E7" w:rsidRPr="00F47E6D" w:rsidRDefault="005874E7" w:rsidP="00C90C75">
            <w:pPr>
              <w:rPr>
                <w:rStyle w:val="tgc"/>
                <w:rFonts w:cs="Arial"/>
              </w:rPr>
            </w:pPr>
            <w:r>
              <w:rPr>
                <w:rStyle w:val="tgc"/>
                <w:rFonts w:cs="Arial"/>
              </w:rPr>
              <w:t xml:space="preserve">The potential for the wind farm to cause danger, risk or injury to </w:t>
            </w:r>
            <w:r>
              <w:rPr>
                <w:rFonts w:cs="Arial"/>
              </w:rPr>
              <w:t xml:space="preserve">residents of a community within </w:t>
            </w:r>
            <w:r w:rsidRPr="00F47E6D">
              <w:rPr>
                <w:rFonts w:cs="Arial"/>
              </w:rPr>
              <w:t xml:space="preserve">proximity to </w:t>
            </w:r>
            <w:r>
              <w:rPr>
                <w:rFonts w:cs="Arial"/>
              </w:rPr>
              <w:t xml:space="preserve">a </w:t>
            </w:r>
            <w:r w:rsidRPr="00F47E6D">
              <w:rPr>
                <w:rFonts w:cs="Arial"/>
              </w:rPr>
              <w:t>wind farm</w:t>
            </w:r>
            <w:r>
              <w:rPr>
                <w:rFonts w:cs="Arial"/>
              </w:rPr>
              <w:t>.</w:t>
            </w:r>
            <w:r>
              <w:rPr>
                <w:rStyle w:val="tgc"/>
                <w:rFonts w:cs="Arial"/>
              </w:rPr>
              <w:t xml:space="preserve"> May include issues such as sleep deprivation, fire hazard, or any personal well-being.</w:t>
            </w:r>
          </w:p>
        </w:tc>
      </w:tr>
      <w:tr w:rsidR="005874E7" w:rsidRPr="00F47E6D" w14:paraId="312ADE80"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43F70849" w14:textId="77777777" w:rsidR="005874E7" w:rsidRPr="00F47E6D" w:rsidRDefault="005874E7" w:rsidP="00C90C75">
            <w:pPr>
              <w:rPr>
                <w:rFonts w:cs="Arial"/>
                <w:lang w:val="en"/>
              </w:rPr>
            </w:pPr>
            <w:r w:rsidRPr="00F47E6D">
              <w:rPr>
                <w:rFonts w:cs="Arial"/>
              </w:rPr>
              <w:t>Shadow flicker</w:t>
            </w:r>
          </w:p>
        </w:tc>
        <w:tc>
          <w:tcPr>
            <w:tcW w:w="7626" w:type="dxa"/>
          </w:tcPr>
          <w:p w14:paraId="7705B62D" w14:textId="77777777" w:rsidR="005874E7" w:rsidRPr="00F47E6D" w:rsidRDefault="005874E7" w:rsidP="00C90C75">
            <w:pPr>
              <w:rPr>
                <w:rStyle w:val="tgc"/>
                <w:rFonts w:cs="Arial"/>
              </w:rPr>
            </w:pPr>
            <w:r w:rsidRPr="00F47E6D">
              <w:rPr>
                <w:rFonts w:cs="Arial"/>
              </w:rPr>
              <w:t>The shadow cast by the sun over the rotating blades of a wind turbine that results in a rotating shadow affecting neighbouring properties</w:t>
            </w:r>
            <w:r>
              <w:rPr>
                <w:rFonts w:cs="Arial"/>
              </w:rPr>
              <w:t>.</w:t>
            </w:r>
          </w:p>
        </w:tc>
      </w:tr>
      <w:tr w:rsidR="005874E7" w:rsidRPr="00F47E6D" w14:paraId="708F4184"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54A69B9B" w14:textId="77777777" w:rsidR="005874E7" w:rsidRPr="00F47E6D" w:rsidRDefault="005874E7" w:rsidP="00C90C75">
            <w:pPr>
              <w:rPr>
                <w:rFonts w:cs="Arial"/>
                <w:lang w:val="en"/>
              </w:rPr>
            </w:pPr>
            <w:r w:rsidRPr="00F47E6D">
              <w:rPr>
                <w:rStyle w:val="tgc"/>
                <w:rFonts w:cs="Arial"/>
              </w:rPr>
              <w:t>Supportive Member</w:t>
            </w:r>
          </w:p>
        </w:tc>
        <w:tc>
          <w:tcPr>
            <w:tcW w:w="7626" w:type="dxa"/>
          </w:tcPr>
          <w:p w14:paraId="16AC719D" w14:textId="77777777" w:rsidR="005874E7" w:rsidRPr="00F47E6D" w:rsidRDefault="005874E7" w:rsidP="00C90C75">
            <w:pPr>
              <w:rPr>
                <w:rStyle w:val="tgc"/>
                <w:rFonts w:cs="Arial"/>
              </w:rPr>
            </w:pPr>
            <w:r w:rsidRPr="00A815D8">
              <w:rPr>
                <w:rFonts w:cs="Arial"/>
              </w:rPr>
              <w:t xml:space="preserve">A person </w:t>
            </w:r>
            <w:r w:rsidRPr="00580FE0">
              <w:rPr>
                <w:rFonts w:eastAsia="Times New Roman" w:cs="Arial"/>
              </w:rPr>
              <w:t>who resides in a dwelling within proximity to a proposed or operating wind farm facility</w:t>
            </w:r>
            <w:r>
              <w:rPr>
                <w:rFonts w:eastAsia="Times New Roman" w:cs="Arial"/>
              </w:rPr>
              <w:t xml:space="preserve">, or is a member of the community that is in favour of a proposed or operating wind farm. </w:t>
            </w:r>
          </w:p>
        </w:tc>
      </w:tr>
      <w:tr w:rsidR="005874E7" w:rsidRPr="00F47E6D" w14:paraId="05FDA8AF"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42D1489C" w14:textId="77777777" w:rsidR="005874E7" w:rsidRPr="00F47E6D" w:rsidRDefault="005874E7" w:rsidP="00C90C75">
            <w:pPr>
              <w:rPr>
                <w:rFonts w:cs="Arial"/>
                <w:lang w:val="en"/>
              </w:rPr>
            </w:pPr>
            <w:r w:rsidRPr="00F47E6D">
              <w:rPr>
                <w:rStyle w:val="tgc"/>
                <w:rFonts w:cs="Arial"/>
              </w:rPr>
              <w:t>Terms of Reference</w:t>
            </w:r>
          </w:p>
        </w:tc>
        <w:tc>
          <w:tcPr>
            <w:tcW w:w="7626" w:type="dxa"/>
          </w:tcPr>
          <w:p w14:paraId="71DB52A0" w14:textId="431B3000" w:rsidR="005874E7" w:rsidRPr="00F47E6D" w:rsidRDefault="005874E7" w:rsidP="00C90C75">
            <w:pPr>
              <w:rPr>
                <w:rStyle w:val="tgc"/>
                <w:rFonts w:cs="Arial"/>
              </w:rPr>
            </w:pPr>
            <w:r>
              <w:rPr>
                <w:rStyle w:val="tgc"/>
                <w:rFonts w:cs="Arial"/>
              </w:rPr>
              <w:t xml:space="preserve">The specifications that outline the scope and limitations of the Office. See </w:t>
            </w:r>
            <w:r w:rsidR="005E538C">
              <w:rPr>
                <w:rStyle w:val="tgc"/>
                <w:rFonts w:cs="Arial"/>
                <w:u w:val="single"/>
              </w:rPr>
              <w:t>Appendix </w:t>
            </w:r>
            <w:r w:rsidRPr="005E538C">
              <w:rPr>
                <w:rStyle w:val="tgc"/>
                <w:rFonts w:cs="Arial"/>
                <w:u w:val="single"/>
              </w:rPr>
              <w:t>A</w:t>
            </w:r>
            <w:r>
              <w:rPr>
                <w:rStyle w:val="tgc"/>
                <w:rFonts w:cs="Arial"/>
              </w:rPr>
              <w:t>.</w:t>
            </w:r>
          </w:p>
        </w:tc>
      </w:tr>
      <w:tr w:rsidR="005874E7" w:rsidRPr="00F47E6D" w14:paraId="124CEA5B"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6F3CEC0E" w14:textId="77777777" w:rsidR="005874E7" w:rsidRPr="00F47E6D" w:rsidRDefault="005874E7" w:rsidP="00C90C75">
            <w:pPr>
              <w:rPr>
                <w:rFonts w:cs="Arial"/>
                <w:lang w:val="en"/>
              </w:rPr>
            </w:pPr>
            <w:r w:rsidRPr="00F47E6D">
              <w:rPr>
                <w:rStyle w:val="st1"/>
                <w:rFonts w:cs="Arial"/>
              </w:rPr>
              <w:t>Vibration</w:t>
            </w:r>
          </w:p>
        </w:tc>
        <w:tc>
          <w:tcPr>
            <w:tcW w:w="7626" w:type="dxa"/>
          </w:tcPr>
          <w:p w14:paraId="0F38D4EB" w14:textId="77777777" w:rsidR="005874E7" w:rsidRPr="00F47E6D" w:rsidRDefault="005874E7" w:rsidP="00C90C75">
            <w:pPr>
              <w:rPr>
                <w:rStyle w:val="tgc"/>
                <w:rFonts w:cs="Arial"/>
              </w:rPr>
            </w:pPr>
            <w:r>
              <w:rPr>
                <w:rStyle w:val="tgc"/>
                <w:rFonts w:cs="Arial"/>
              </w:rPr>
              <w:t>An effect of the infrasound that is produced by turbines.</w:t>
            </w:r>
          </w:p>
        </w:tc>
      </w:tr>
      <w:tr w:rsidR="005874E7" w:rsidRPr="00F47E6D" w14:paraId="0F3FA1AD" w14:textId="77777777" w:rsidTr="00C90C75">
        <w:trPr>
          <w:cnfStyle w:val="000000100000" w:firstRow="0" w:lastRow="0" w:firstColumn="0" w:lastColumn="0" w:oddVBand="0" w:evenVBand="0" w:oddHBand="1" w:evenHBand="0" w:firstRowFirstColumn="0" w:firstRowLastColumn="0" w:lastRowFirstColumn="0" w:lastRowLastColumn="0"/>
        </w:trPr>
        <w:tc>
          <w:tcPr>
            <w:tcW w:w="2830" w:type="dxa"/>
          </w:tcPr>
          <w:p w14:paraId="2BC75444" w14:textId="77777777" w:rsidR="005874E7" w:rsidRPr="00F47E6D" w:rsidRDefault="005874E7" w:rsidP="00C90C75">
            <w:pPr>
              <w:rPr>
                <w:rFonts w:cs="Arial"/>
              </w:rPr>
            </w:pPr>
            <w:r w:rsidRPr="00F47E6D">
              <w:rPr>
                <w:rStyle w:val="st1"/>
                <w:rFonts w:cs="Arial"/>
              </w:rPr>
              <w:t>Wind Farm Maintenance/Operations</w:t>
            </w:r>
          </w:p>
        </w:tc>
        <w:tc>
          <w:tcPr>
            <w:tcW w:w="7626" w:type="dxa"/>
          </w:tcPr>
          <w:p w14:paraId="18F878D1" w14:textId="77777777" w:rsidR="005874E7" w:rsidRPr="00F47E6D" w:rsidRDefault="005874E7" w:rsidP="00C90C75">
            <w:pPr>
              <w:rPr>
                <w:rStyle w:val="tgc"/>
                <w:rFonts w:cs="Arial"/>
              </w:rPr>
            </w:pPr>
            <w:r>
              <w:rPr>
                <w:rStyle w:val="tgc"/>
                <w:rFonts w:cs="Arial"/>
              </w:rPr>
              <w:t xml:space="preserve">Related to the ongoing process of ensuring the upkeep of the wind farm turbines for the life of the project. </w:t>
            </w:r>
          </w:p>
        </w:tc>
      </w:tr>
      <w:tr w:rsidR="005874E7" w:rsidRPr="00F47E6D" w14:paraId="2146A22C" w14:textId="77777777" w:rsidTr="00C90C75">
        <w:trPr>
          <w:cnfStyle w:val="000000010000" w:firstRow="0" w:lastRow="0" w:firstColumn="0" w:lastColumn="0" w:oddVBand="0" w:evenVBand="0" w:oddHBand="0" w:evenHBand="1" w:firstRowFirstColumn="0" w:firstRowLastColumn="0" w:lastRowFirstColumn="0" w:lastRowLastColumn="0"/>
        </w:trPr>
        <w:tc>
          <w:tcPr>
            <w:tcW w:w="2830" w:type="dxa"/>
          </w:tcPr>
          <w:p w14:paraId="172A22B9" w14:textId="77777777" w:rsidR="005874E7" w:rsidRPr="00F47E6D" w:rsidRDefault="005874E7" w:rsidP="00C90C75">
            <w:pPr>
              <w:rPr>
                <w:rFonts w:cs="Arial"/>
                <w:lang w:val="en"/>
              </w:rPr>
            </w:pPr>
            <w:r w:rsidRPr="00F47E6D">
              <w:rPr>
                <w:rFonts w:cs="Arial"/>
              </w:rPr>
              <w:t>Wind Turbine</w:t>
            </w:r>
          </w:p>
        </w:tc>
        <w:tc>
          <w:tcPr>
            <w:tcW w:w="7626" w:type="dxa"/>
          </w:tcPr>
          <w:p w14:paraId="4682C183" w14:textId="77777777" w:rsidR="005874E7" w:rsidRPr="00F47E6D" w:rsidRDefault="005874E7" w:rsidP="00C90C75">
            <w:pPr>
              <w:rPr>
                <w:rStyle w:val="tgc"/>
                <w:rFonts w:cs="Arial"/>
              </w:rPr>
            </w:pPr>
            <w:r w:rsidRPr="00F47E6D">
              <w:rPr>
                <w:rStyle w:val="st1"/>
                <w:rFonts w:cs="Arial"/>
              </w:rPr>
              <w:t>Device with at least one moving part called a rotor assembly, which is a shaft or drum with blades attached, which is used to convert the wind's kinetic energy into electrical power</w:t>
            </w:r>
            <w:r>
              <w:rPr>
                <w:rStyle w:val="st1"/>
                <w:rFonts w:cs="Arial"/>
              </w:rPr>
              <w:t>.</w:t>
            </w:r>
          </w:p>
        </w:tc>
      </w:tr>
    </w:tbl>
    <w:p w14:paraId="2DC834D2" w14:textId="77777777" w:rsidR="005874E7" w:rsidRPr="00626C20" w:rsidRDefault="005874E7" w:rsidP="005874E7">
      <w:pPr>
        <w:rPr>
          <w:rFonts w:cs="Arial"/>
          <w:sz w:val="24"/>
          <w:szCs w:val="24"/>
        </w:rPr>
      </w:pPr>
    </w:p>
    <w:p w14:paraId="749F3706" w14:textId="77777777" w:rsidR="005874E7" w:rsidRDefault="005874E7" w:rsidP="005874E7">
      <w:pPr>
        <w:pStyle w:val="Heading1"/>
        <w:rPr>
          <w:sz w:val="24"/>
          <w:szCs w:val="24"/>
        </w:rPr>
        <w:sectPr w:rsidR="005874E7" w:rsidSect="00C90C75">
          <w:headerReference w:type="even" r:id="rId54"/>
          <w:headerReference w:type="default" r:id="rId55"/>
          <w:headerReference w:type="first" r:id="rId56"/>
          <w:pgSz w:w="11906" w:h="16838" w:code="9"/>
          <w:pgMar w:top="720" w:right="720" w:bottom="720" w:left="720" w:header="425" w:footer="425" w:gutter="0"/>
          <w:cols w:space="708"/>
          <w:docGrid w:linePitch="360"/>
        </w:sectPr>
      </w:pPr>
    </w:p>
    <w:p w14:paraId="1B0EE01C" w14:textId="77777777" w:rsidR="005874E7" w:rsidRPr="007D65DB" w:rsidRDefault="005874E7" w:rsidP="005874E7">
      <w:pPr>
        <w:pStyle w:val="Heading1"/>
        <w:rPr>
          <w:sz w:val="24"/>
          <w:szCs w:val="24"/>
        </w:rPr>
      </w:pPr>
      <w:bookmarkStart w:id="32" w:name="_Toc511140624"/>
      <w:r>
        <w:rPr>
          <w:sz w:val="24"/>
          <w:szCs w:val="24"/>
        </w:rPr>
        <w:lastRenderedPageBreak/>
        <w:t xml:space="preserve">Appendix </w:t>
      </w:r>
      <w:bookmarkEnd w:id="30"/>
      <w:r>
        <w:rPr>
          <w:sz w:val="24"/>
          <w:szCs w:val="24"/>
        </w:rPr>
        <w:t>A</w:t>
      </w:r>
      <w:bookmarkEnd w:id="32"/>
    </w:p>
    <w:p w14:paraId="24B860A0" w14:textId="77777777" w:rsidR="005874E7" w:rsidRPr="007D65DB" w:rsidRDefault="005874E7" w:rsidP="005874E7">
      <w:pPr>
        <w:spacing w:line="360" w:lineRule="auto"/>
        <w:jc w:val="center"/>
        <w:rPr>
          <w:rFonts w:cs="Arial"/>
          <w:b/>
          <w:sz w:val="24"/>
          <w:szCs w:val="24"/>
        </w:rPr>
      </w:pPr>
      <w:r w:rsidRPr="007D65DB">
        <w:rPr>
          <w:rFonts w:cs="Arial"/>
          <w:b/>
          <w:sz w:val="24"/>
          <w:szCs w:val="24"/>
        </w:rPr>
        <w:t>Office of the National Wind Farm Commissioner</w:t>
      </w:r>
    </w:p>
    <w:p w14:paraId="505F946B" w14:textId="77777777" w:rsidR="005874E7" w:rsidRPr="007D65DB" w:rsidRDefault="005874E7" w:rsidP="005874E7">
      <w:pPr>
        <w:spacing w:line="360" w:lineRule="auto"/>
        <w:jc w:val="center"/>
        <w:rPr>
          <w:rFonts w:cs="Arial"/>
          <w:b/>
          <w:color w:val="002060"/>
          <w:sz w:val="24"/>
          <w:szCs w:val="24"/>
        </w:rPr>
      </w:pPr>
      <w:r w:rsidRPr="007D65DB">
        <w:rPr>
          <w:rFonts w:cs="Arial"/>
          <w:b/>
          <w:sz w:val="24"/>
          <w:szCs w:val="24"/>
        </w:rPr>
        <w:t>TERMS OF REFERENCE</w:t>
      </w:r>
    </w:p>
    <w:p w14:paraId="7DCDB2D8" w14:textId="77777777" w:rsidR="005874E7" w:rsidRPr="00287727" w:rsidRDefault="005874E7" w:rsidP="005874E7">
      <w:pPr>
        <w:shd w:val="clear" w:color="auto" w:fill="FFFFFF"/>
        <w:spacing w:after="168" w:line="336" w:lineRule="atLeast"/>
        <w:ind w:left="360"/>
        <w:rPr>
          <w:rFonts w:eastAsia="Times New Roman" w:cs="Arial"/>
          <w:color w:val="000000"/>
          <w:lang w:val="en" w:eastAsia="en-AU"/>
        </w:rPr>
      </w:pPr>
      <w:r w:rsidRPr="00287727">
        <w:rPr>
          <w:rFonts w:eastAsia="Times New Roman" w:cs="Arial"/>
          <w:color w:val="000000"/>
          <w:lang w:val="en" w:eastAsia="en-AU"/>
        </w:rPr>
        <w:t>The negotiated settlement of the Renewable Energy Target in mid 2015 is expected to lead to increased construction of wind turbines in the next five years.</w:t>
      </w:r>
    </w:p>
    <w:p w14:paraId="575310D6" w14:textId="77777777" w:rsidR="005874E7" w:rsidRPr="00287727" w:rsidRDefault="005874E7" w:rsidP="005874E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Senate Select Committee on Wind Turbines, held during 2015, identified many issues of concern relating to the standards, monitoring and operation of wind farms.</w:t>
      </w:r>
    </w:p>
    <w:p w14:paraId="28B9D210" w14:textId="77777777" w:rsidR="005874E7" w:rsidRPr="00287727" w:rsidRDefault="005874E7" w:rsidP="005874E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Government responded positively to the recommendations of the Committee's Interim Report, including creation of the role of a National Wind Farm Commissioner.</w:t>
      </w:r>
    </w:p>
    <w:p w14:paraId="7BBC6E00" w14:textId="77777777" w:rsidR="005874E7" w:rsidRPr="00287727" w:rsidRDefault="005874E7" w:rsidP="005874E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Commissioner will work collaboratively with all levels of government, scientists, industry and the community to resolve complaints from communities about proposed and operational wind farms.</w:t>
      </w:r>
    </w:p>
    <w:p w14:paraId="06D4ED11" w14:textId="77777777" w:rsidR="005874E7" w:rsidRPr="00287727" w:rsidRDefault="005874E7" w:rsidP="005874E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Commissioner will refer complaints about wind farms to relevant state authorities and help ensure that they are properly addressed.</w:t>
      </w:r>
    </w:p>
    <w:p w14:paraId="31974A6B" w14:textId="77777777" w:rsidR="005874E7" w:rsidRPr="00287727" w:rsidRDefault="005874E7" w:rsidP="005874E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Commissioner will work with stakeholders to identify needs and priorities for monitoring wind farms.</w:t>
      </w:r>
    </w:p>
    <w:p w14:paraId="140EA8EA" w14:textId="77777777" w:rsidR="005874E7" w:rsidRPr="00287727" w:rsidRDefault="005874E7" w:rsidP="005874E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Commissioner will lead efforts to promote best practices, information availability, and provide a central, trusted source for dissemination of information.</w:t>
      </w:r>
    </w:p>
    <w:p w14:paraId="1172DBC6" w14:textId="77777777" w:rsidR="005874E7" w:rsidRPr="00287727" w:rsidRDefault="005874E7" w:rsidP="005874E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Commissioner, supported by the Australian Government Department of the Environment, will report to the Minister for the Environment and provide an Annual Report to the Australian Parliament on delivering against these Terms of Reference.</w:t>
      </w:r>
    </w:p>
    <w:p w14:paraId="7E65E855" w14:textId="77777777" w:rsidR="005874E7" w:rsidRPr="00287727" w:rsidRDefault="005874E7" w:rsidP="005874E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work of the Commissioner will not duplicate or override the important statutory responsibilities of other jurisdictions, such as those relating to the planning and approval of wind farms.</w:t>
      </w:r>
    </w:p>
    <w:p w14:paraId="268F07EE" w14:textId="77777777" w:rsidR="005874E7" w:rsidRPr="00287727" w:rsidRDefault="005874E7" w:rsidP="005874E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Commissioner is to draw on the work of the Independent Scientific Committee on Wind Turbines.</w:t>
      </w:r>
    </w:p>
    <w:p w14:paraId="58300376" w14:textId="77777777" w:rsidR="005874E7" w:rsidRPr="00287727" w:rsidRDefault="005874E7" w:rsidP="005874E7">
      <w:pPr>
        <w:shd w:val="clear" w:color="auto" w:fill="FFFFFF"/>
        <w:spacing w:before="168" w:after="168" w:line="336" w:lineRule="atLeast"/>
        <w:ind w:left="360"/>
        <w:rPr>
          <w:rFonts w:eastAsia="Times New Roman" w:cs="Arial"/>
          <w:color w:val="000000"/>
          <w:lang w:val="en" w:eastAsia="en-AU"/>
        </w:rPr>
      </w:pPr>
      <w:r w:rsidRPr="00287727">
        <w:rPr>
          <w:rFonts w:eastAsia="Times New Roman" w:cs="Arial"/>
          <w:color w:val="000000"/>
          <w:lang w:val="en" w:eastAsia="en-AU"/>
        </w:rPr>
        <w:t>The role of the National Wind Farm Commissioner will be established for an initial period of three years and will be reviewed by the Australian Government.</w:t>
      </w:r>
    </w:p>
    <w:p w14:paraId="4501A314" w14:textId="77777777" w:rsidR="005874E7" w:rsidRDefault="005874E7" w:rsidP="005874E7"/>
    <w:p w14:paraId="6ADA0E9B" w14:textId="77777777" w:rsidR="005874E7" w:rsidRDefault="005874E7" w:rsidP="005874E7"/>
    <w:p w14:paraId="4A6F3011" w14:textId="77777777" w:rsidR="005874E7" w:rsidRPr="00E35D08" w:rsidRDefault="005874E7" w:rsidP="005874E7">
      <w:pPr>
        <w:sectPr w:rsidR="005874E7" w:rsidRPr="00E35D08" w:rsidSect="00C90C75">
          <w:headerReference w:type="even" r:id="rId57"/>
          <w:headerReference w:type="default" r:id="rId58"/>
          <w:headerReference w:type="first" r:id="rId59"/>
          <w:pgSz w:w="11906" w:h="16838" w:code="9"/>
          <w:pgMar w:top="720" w:right="720" w:bottom="720" w:left="720" w:header="425" w:footer="425" w:gutter="0"/>
          <w:cols w:space="708"/>
          <w:docGrid w:linePitch="360"/>
        </w:sectPr>
      </w:pPr>
    </w:p>
    <w:p w14:paraId="2693DB69" w14:textId="03F36991" w:rsidR="005874E7" w:rsidRPr="00685AEA" w:rsidRDefault="00D51205" w:rsidP="005874E7">
      <w:pPr>
        <w:pStyle w:val="Heading1"/>
        <w:rPr>
          <w:sz w:val="24"/>
          <w:szCs w:val="24"/>
        </w:rPr>
      </w:pPr>
      <w:bookmarkStart w:id="33" w:name="_Toc511140625"/>
      <w:r>
        <w:rPr>
          <w:rFonts w:ascii="Times New Roman" w:hAnsi="Times New Roman"/>
          <w:b w:val="0"/>
          <w:noProof/>
          <w:sz w:val="36"/>
          <w:szCs w:val="36"/>
          <w:lang w:eastAsia="en-AU"/>
        </w:rPr>
        <w:lastRenderedPageBreak/>
        <w:drawing>
          <wp:anchor distT="0" distB="0" distL="114300" distR="114300" simplePos="0" relativeHeight="251659264" behindDoc="0" locked="0" layoutInCell="1" allowOverlap="1" wp14:anchorId="228566BD" wp14:editId="61E27653">
            <wp:simplePos x="0" y="0"/>
            <wp:positionH relativeFrom="margin">
              <wp:align>center</wp:align>
            </wp:positionH>
            <wp:positionV relativeFrom="paragraph">
              <wp:posOffset>267335</wp:posOffset>
            </wp:positionV>
            <wp:extent cx="857250" cy="742950"/>
            <wp:effectExtent l="0" t="0" r="0" b="0"/>
            <wp:wrapSquare wrapText="bothSides"/>
            <wp:docPr id="8" name="Picture 1" descr="Crest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 good!"/>
                    <pic:cNvPicPr>
                      <a:picLocks noChangeAspect="1" noChangeArrowheads="1"/>
                    </pic:cNvPicPr>
                  </pic:nvPicPr>
                  <pic:blipFill>
                    <a:blip r:embed="rId60" cstate="print">
                      <a:extLst>
                        <a:ext uri="{28A0092B-C50C-407E-A947-70E740481C1C}">
                          <a14:useLocalDpi xmlns:a14="http://schemas.microsoft.com/office/drawing/2010/main" val="0"/>
                        </a:ext>
                      </a:extLst>
                    </a:blip>
                    <a:srcRect l="6934" t="9615" r="4741"/>
                    <a:stretch>
                      <a:fillRect/>
                    </a:stretch>
                  </pic:blipFill>
                  <pic:spPr bwMode="auto">
                    <a:xfrm>
                      <a:off x="0" y="0"/>
                      <a:ext cx="857250" cy="742950"/>
                    </a:xfrm>
                    <a:prstGeom prst="rect">
                      <a:avLst/>
                    </a:prstGeom>
                    <a:noFill/>
                    <a:ln w="9525">
                      <a:noFill/>
                      <a:miter lim="800000"/>
                      <a:headEnd/>
                      <a:tailEnd/>
                    </a:ln>
                  </pic:spPr>
                </pic:pic>
              </a:graphicData>
            </a:graphic>
            <wp14:sizeRelV relativeFrom="margin">
              <wp14:pctHeight>0</wp14:pctHeight>
            </wp14:sizeRelV>
          </wp:anchor>
        </w:drawing>
      </w:r>
      <w:r w:rsidR="005874E7">
        <w:rPr>
          <w:sz w:val="24"/>
          <w:szCs w:val="24"/>
        </w:rPr>
        <w:t>Appendix B</w:t>
      </w:r>
      <w:bookmarkEnd w:id="33"/>
    </w:p>
    <w:p w14:paraId="11551FD1" w14:textId="09F7D6AD" w:rsidR="005874E7" w:rsidRPr="0080446F" w:rsidRDefault="005874E7" w:rsidP="005874E7">
      <w:pPr>
        <w:pStyle w:val="Header"/>
        <w:rPr>
          <w:rFonts w:ascii="Times New Roman" w:hAnsi="Times New Roman"/>
          <w:b/>
          <w:bCs/>
          <w:sz w:val="36"/>
          <w:szCs w:val="36"/>
          <w:lang w:val="en-GB"/>
        </w:rPr>
      </w:pPr>
      <w:r>
        <w:rPr>
          <w:rFonts w:ascii="Times New Roman" w:hAnsi="Times New Roman"/>
          <w:b/>
          <w:bCs/>
          <w:sz w:val="36"/>
          <w:szCs w:val="36"/>
          <w:lang w:val="en-GB"/>
        </w:rPr>
        <w:br w:type="textWrapping" w:clear="all"/>
      </w:r>
    </w:p>
    <w:p w14:paraId="09B25225" w14:textId="77777777" w:rsidR="005874E7" w:rsidRPr="0080446F" w:rsidRDefault="005874E7" w:rsidP="005874E7">
      <w:pPr>
        <w:pStyle w:val="Header"/>
        <w:jc w:val="center"/>
        <w:rPr>
          <w:rFonts w:ascii="Times New Roman" w:hAnsi="Times New Roman"/>
          <w:b/>
          <w:bCs/>
          <w:sz w:val="20"/>
          <w:lang w:val="en-GB"/>
        </w:rPr>
      </w:pPr>
    </w:p>
    <w:p w14:paraId="19061848" w14:textId="77777777" w:rsidR="005874E7" w:rsidRPr="006048D4" w:rsidRDefault="005874E7" w:rsidP="005874E7">
      <w:pPr>
        <w:jc w:val="center"/>
        <w:rPr>
          <w:rFonts w:ascii="Calibri" w:hAnsi="Calibri"/>
          <w:b/>
          <w:sz w:val="28"/>
          <w:szCs w:val="28"/>
        </w:rPr>
      </w:pPr>
      <w:r w:rsidRPr="006048D4">
        <w:rPr>
          <w:rFonts w:ascii="Calibri" w:hAnsi="Calibri"/>
          <w:b/>
          <w:sz w:val="28"/>
          <w:szCs w:val="28"/>
        </w:rPr>
        <w:t>Office of the National Wind Farm Commissioner</w:t>
      </w:r>
    </w:p>
    <w:p w14:paraId="19DE3689" w14:textId="77777777" w:rsidR="005874E7" w:rsidRDefault="006F23F3" w:rsidP="005874E7">
      <w:pPr>
        <w:pStyle w:val="Header"/>
      </w:pPr>
      <w:r>
        <w:rPr>
          <w:rFonts w:ascii="Calibri" w:hAnsi="Calibri"/>
          <w:sz w:val="20"/>
        </w:rPr>
        <w:pict w14:anchorId="44BC8849">
          <v:rect id="_x0000_i1027" style="width:481.9pt;height:1pt" o:hralign="center" o:hrstd="t" o:hrnoshade="t" o:hr="t" fillcolor="black" stroked="f"/>
        </w:pict>
      </w:r>
    </w:p>
    <w:p w14:paraId="7CDED7F8" w14:textId="77777777" w:rsidR="005874E7" w:rsidRDefault="005874E7" w:rsidP="005874E7">
      <w:pPr>
        <w:spacing w:before="100" w:after="100"/>
        <w:jc w:val="center"/>
        <w:rPr>
          <w:rFonts w:ascii="Times New Roman" w:eastAsia="Times New Roman" w:hAnsi="Times New Roman"/>
          <w:b/>
          <w:color w:val="000000" w:themeColor="text1"/>
          <w:sz w:val="28"/>
        </w:rPr>
      </w:pPr>
      <w:r>
        <w:rPr>
          <w:rFonts w:ascii="Times New Roman" w:eastAsia="Times New Roman" w:hAnsi="Times New Roman"/>
          <w:b/>
          <w:sz w:val="24"/>
        </w:rPr>
        <w:t>COMPLAINTS HANDLING POLICY</w:t>
      </w:r>
      <w:r>
        <w:rPr>
          <w:rFonts w:ascii="Times New Roman" w:eastAsia="Times New Roman" w:hAnsi="Times New Roman"/>
          <w:b/>
          <w:sz w:val="24"/>
        </w:rPr>
        <w:br/>
      </w:r>
      <w:r w:rsidRPr="00AD320D">
        <w:rPr>
          <w:rFonts w:ascii="Times New Roman" w:eastAsia="Times New Roman" w:hAnsi="Times New Roman"/>
          <w:sz w:val="24"/>
        </w:rPr>
        <w:t>(Version 1.4 – 1 August 2016)</w:t>
      </w:r>
    </w:p>
    <w:p w14:paraId="0C1039C3" w14:textId="77777777" w:rsidR="005874E7" w:rsidRPr="00593024" w:rsidRDefault="005874E7" w:rsidP="005874E7">
      <w:pPr>
        <w:spacing w:before="100" w:after="100"/>
        <w:rPr>
          <w:rFonts w:ascii="Times New Roman" w:eastAsia="Times New Roman" w:hAnsi="Times New Roman"/>
          <w:sz w:val="24"/>
        </w:rPr>
      </w:pPr>
      <w:r w:rsidRPr="00593024">
        <w:rPr>
          <w:rFonts w:ascii="Times New Roman" w:eastAsia="Times New Roman" w:hAnsi="Times New Roman"/>
          <w:b/>
          <w:color w:val="000000" w:themeColor="text1"/>
          <w:sz w:val="28"/>
        </w:rPr>
        <w:t>Introduction and principles</w:t>
      </w:r>
      <w:r w:rsidRPr="00593024">
        <w:rPr>
          <w:rFonts w:ascii="Times New Roman" w:eastAsia="Times New Roman" w:hAnsi="Times New Roman"/>
          <w:b/>
          <w:color w:val="000000" w:themeColor="text1"/>
          <w:sz w:val="28"/>
        </w:rPr>
        <w:br/>
      </w:r>
    </w:p>
    <w:p w14:paraId="65849A45" w14:textId="77777777" w:rsidR="005874E7" w:rsidRDefault="005874E7" w:rsidP="00D35B01">
      <w:pPr>
        <w:pStyle w:val="ListParagraph"/>
        <w:numPr>
          <w:ilvl w:val="0"/>
          <w:numId w:val="21"/>
        </w:numPr>
        <w:spacing w:before="100" w:after="100"/>
        <w:contextualSpacing/>
        <w:rPr>
          <w:rFonts w:ascii="Times New Roman" w:hAnsi="Times New Roman"/>
          <w:sz w:val="24"/>
          <w:szCs w:val="24"/>
        </w:rPr>
      </w:pPr>
      <w:bookmarkStart w:id="34" w:name="OLE_LINK1"/>
      <w:bookmarkStart w:id="35" w:name="OLE_LINK2"/>
      <w:r w:rsidRPr="007B5B60">
        <w:rPr>
          <w:rFonts w:ascii="Times New Roman" w:hAnsi="Times New Roman"/>
          <w:sz w:val="24"/>
          <w:szCs w:val="24"/>
        </w:rPr>
        <w:t xml:space="preserve">The National Wind Farm Commissioner (the “Commissioner” or “we” or “our”) is an independent role </w:t>
      </w:r>
      <w:r>
        <w:rPr>
          <w:rFonts w:ascii="Times New Roman" w:hAnsi="Times New Roman"/>
          <w:sz w:val="24"/>
          <w:szCs w:val="24"/>
        </w:rPr>
        <w:t>created</w:t>
      </w:r>
      <w:r w:rsidRPr="007B5B60">
        <w:rPr>
          <w:rFonts w:ascii="Times New Roman" w:hAnsi="Times New Roman"/>
          <w:sz w:val="24"/>
          <w:szCs w:val="24"/>
        </w:rPr>
        <w:t xml:space="preserve"> by the Australian Government, reporting to the Minister for the Environment</w:t>
      </w:r>
      <w:r>
        <w:rPr>
          <w:rFonts w:ascii="Times New Roman" w:hAnsi="Times New Roman"/>
          <w:sz w:val="24"/>
          <w:szCs w:val="24"/>
        </w:rPr>
        <w:t xml:space="preserve"> and Energy</w:t>
      </w:r>
      <w:r w:rsidRPr="007B5B60">
        <w:rPr>
          <w:rFonts w:ascii="Times New Roman" w:hAnsi="Times New Roman"/>
          <w:sz w:val="24"/>
          <w:szCs w:val="24"/>
        </w:rPr>
        <w:t xml:space="preserve">. </w:t>
      </w:r>
      <w:r>
        <w:rPr>
          <w:rFonts w:ascii="Times New Roman" w:hAnsi="Times New Roman"/>
          <w:sz w:val="24"/>
          <w:szCs w:val="24"/>
        </w:rPr>
        <w:t xml:space="preserve"> </w:t>
      </w:r>
      <w:r w:rsidRPr="007B5B60">
        <w:rPr>
          <w:rFonts w:ascii="Times New Roman" w:hAnsi="Times New Roman"/>
          <w:sz w:val="24"/>
          <w:szCs w:val="24"/>
        </w:rPr>
        <w:t>A primary role of the Commissioner is to receive complaints from concerned residents (“you”) regarding proposed or operating wind farm facilities</w:t>
      </w:r>
      <w:r>
        <w:rPr>
          <w:rFonts w:ascii="Times New Roman" w:hAnsi="Times New Roman"/>
          <w:sz w:val="24"/>
          <w:szCs w:val="24"/>
        </w:rPr>
        <w:t xml:space="preserve">.  The Commissioner also </w:t>
      </w:r>
      <w:r w:rsidRPr="007B5B60">
        <w:rPr>
          <w:rFonts w:ascii="Times New Roman" w:hAnsi="Times New Roman"/>
          <w:sz w:val="24"/>
          <w:szCs w:val="24"/>
        </w:rPr>
        <w:t>work</w:t>
      </w:r>
      <w:r>
        <w:rPr>
          <w:rFonts w:ascii="Times New Roman" w:hAnsi="Times New Roman"/>
          <w:sz w:val="24"/>
          <w:szCs w:val="24"/>
        </w:rPr>
        <w:t>s</w:t>
      </w:r>
      <w:r w:rsidRPr="007B5B60">
        <w:rPr>
          <w:rFonts w:ascii="Times New Roman" w:hAnsi="Times New Roman"/>
          <w:sz w:val="24"/>
          <w:szCs w:val="24"/>
        </w:rPr>
        <w:t xml:space="preserve"> collaboratively with all levels of government, scientists, industry and the community to </w:t>
      </w:r>
      <w:r>
        <w:rPr>
          <w:rFonts w:ascii="Times New Roman" w:hAnsi="Times New Roman"/>
          <w:sz w:val="24"/>
          <w:szCs w:val="24"/>
        </w:rPr>
        <w:t>facilitate the adoption of best practices related to wind farm developments and operations.</w:t>
      </w:r>
    </w:p>
    <w:p w14:paraId="2B1F3E41" w14:textId="77777777" w:rsidR="005874E7" w:rsidRPr="007B5B60" w:rsidRDefault="005874E7" w:rsidP="005874E7">
      <w:pPr>
        <w:pStyle w:val="ListParagraph"/>
        <w:numPr>
          <w:ilvl w:val="0"/>
          <w:numId w:val="0"/>
        </w:numPr>
        <w:spacing w:before="100" w:after="100"/>
        <w:ind w:left="360"/>
        <w:rPr>
          <w:rFonts w:ascii="Times New Roman" w:hAnsi="Times New Roman"/>
          <w:sz w:val="24"/>
          <w:szCs w:val="24"/>
        </w:rPr>
      </w:pPr>
    </w:p>
    <w:bookmarkEnd w:id="34"/>
    <w:bookmarkEnd w:id="35"/>
    <w:p w14:paraId="68A420BF" w14:textId="77777777" w:rsidR="005874E7" w:rsidRPr="001C677A" w:rsidRDefault="005874E7" w:rsidP="00D35B01">
      <w:pPr>
        <w:pStyle w:val="ListParagraph"/>
        <w:numPr>
          <w:ilvl w:val="0"/>
          <w:numId w:val="21"/>
        </w:numPr>
        <w:spacing w:before="100" w:after="100"/>
        <w:contextualSpacing/>
        <w:rPr>
          <w:rFonts w:ascii="Times New Roman" w:eastAsia="Times New Roman" w:hAnsi="Times New Roman"/>
          <w:sz w:val="24"/>
          <w:szCs w:val="24"/>
        </w:rPr>
      </w:pPr>
      <w:r>
        <w:rPr>
          <w:rFonts w:ascii="Times New Roman" w:eastAsia="Times New Roman" w:hAnsi="Times New Roman"/>
          <w:sz w:val="24"/>
          <w:szCs w:val="24"/>
        </w:rPr>
        <w:t xml:space="preserve">This document outlines the Commissioner’s policy and procedure for receiving and handling complaints. </w:t>
      </w:r>
      <w:r w:rsidRPr="007B5B60">
        <w:rPr>
          <w:rFonts w:ascii="Times New Roman" w:eastAsia="Times New Roman" w:hAnsi="Times New Roman"/>
          <w:sz w:val="24"/>
          <w:szCs w:val="24"/>
        </w:rPr>
        <w:t xml:space="preserve">In </w:t>
      </w:r>
      <w:r>
        <w:rPr>
          <w:rFonts w:ascii="Times New Roman" w:hAnsi="Times New Roman"/>
          <w:sz w:val="24"/>
          <w:szCs w:val="24"/>
        </w:rPr>
        <w:t>undertaking this role, the Commissioner may assist parties to find resolutions to complaints.  Where appropriate, the Commissioner may refer complaints about wind farms to relevant government authorities and help to ensure that they are addressed.</w:t>
      </w:r>
    </w:p>
    <w:p w14:paraId="7B89371E" w14:textId="77777777" w:rsidR="005874E7" w:rsidRDefault="005874E7" w:rsidP="005874E7">
      <w:pPr>
        <w:pStyle w:val="ListParagraph"/>
        <w:numPr>
          <w:ilvl w:val="0"/>
          <w:numId w:val="0"/>
        </w:numPr>
        <w:spacing w:before="100" w:after="100"/>
        <w:ind w:left="360"/>
        <w:rPr>
          <w:rFonts w:ascii="Times New Roman" w:eastAsia="Times New Roman" w:hAnsi="Times New Roman"/>
          <w:sz w:val="24"/>
          <w:szCs w:val="24"/>
        </w:rPr>
      </w:pPr>
    </w:p>
    <w:p w14:paraId="5A148424" w14:textId="77777777" w:rsidR="005874E7" w:rsidRPr="00492280" w:rsidRDefault="005874E7" w:rsidP="00D35B01">
      <w:pPr>
        <w:pStyle w:val="ListParagraph"/>
        <w:numPr>
          <w:ilvl w:val="0"/>
          <w:numId w:val="21"/>
        </w:numPr>
        <w:spacing w:before="100" w:after="100"/>
        <w:contextualSpacing/>
        <w:rPr>
          <w:rFonts w:ascii="Times New Roman" w:eastAsia="Times New Roman" w:hAnsi="Times New Roman"/>
          <w:sz w:val="24"/>
        </w:rPr>
      </w:pPr>
      <w:r w:rsidRPr="001C677A">
        <w:rPr>
          <w:rFonts w:ascii="Times New Roman" w:hAnsi="Times New Roman"/>
          <w:sz w:val="24"/>
          <w:szCs w:val="24"/>
        </w:rPr>
        <w:t>Re</w:t>
      </w:r>
      <w:r w:rsidRPr="007B5B60">
        <w:rPr>
          <w:rFonts w:ascii="Times New Roman" w:eastAsia="Times New Roman" w:hAnsi="Times New Roman"/>
          <w:sz w:val="24"/>
          <w:szCs w:val="24"/>
        </w:rPr>
        <w:t>s</w:t>
      </w:r>
      <w:r>
        <w:rPr>
          <w:rFonts w:ascii="Times New Roman" w:hAnsi="Times New Roman"/>
          <w:sz w:val="24"/>
          <w:szCs w:val="24"/>
        </w:rPr>
        <w:t>idents s</w:t>
      </w:r>
      <w:r w:rsidRPr="00E41325">
        <w:rPr>
          <w:rFonts w:ascii="Times New Roman" w:hAnsi="Times New Roman"/>
          <w:sz w:val="24"/>
          <w:szCs w:val="24"/>
        </w:rPr>
        <w:t xml:space="preserve">hould </w:t>
      </w:r>
      <w:r>
        <w:rPr>
          <w:rFonts w:ascii="Times New Roman" w:hAnsi="Times New Roman"/>
          <w:sz w:val="24"/>
          <w:szCs w:val="24"/>
        </w:rPr>
        <w:t>bear in mind that the Commissioner’s role in complaint handling</w:t>
      </w:r>
      <w:r w:rsidRPr="00E41325">
        <w:rPr>
          <w:rFonts w:ascii="Times New Roman" w:hAnsi="Times New Roman"/>
          <w:sz w:val="24"/>
          <w:szCs w:val="24"/>
        </w:rPr>
        <w:t xml:space="preserve"> is a facilitation role only.</w:t>
      </w:r>
      <w:r>
        <w:rPr>
          <w:rFonts w:ascii="Times New Roman" w:hAnsi="Times New Roman"/>
          <w:sz w:val="24"/>
          <w:szCs w:val="24"/>
        </w:rPr>
        <w:t xml:space="preserve"> </w:t>
      </w:r>
      <w:r w:rsidRPr="00E41325">
        <w:rPr>
          <w:rFonts w:ascii="Times New Roman" w:hAnsi="Times New Roman"/>
          <w:sz w:val="24"/>
          <w:szCs w:val="24"/>
        </w:rPr>
        <w:t xml:space="preserve"> The Commissioner </w:t>
      </w:r>
      <w:r>
        <w:rPr>
          <w:rFonts w:ascii="Times New Roman" w:hAnsi="Times New Roman"/>
          <w:sz w:val="24"/>
          <w:szCs w:val="24"/>
        </w:rPr>
        <w:t>will</w:t>
      </w:r>
      <w:r w:rsidRPr="00E41325">
        <w:rPr>
          <w:rFonts w:ascii="Times New Roman" w:hAnsi="Times New Roman"/>
          <w:sz w:val="24"/>
          <w:szCs w:val="24"/>
        </w:rPr>
        <w:t xml:space="preserve"> not </w:t>
      </w:r>
      <w:r>
        <w:rPr>
          <w:rFonts w:ascii="Times New Roman" w:hAnsi="Times New Roman"/>
          <w:sz w:val="24"/>
          <w:szCs w:val="24"/>
        </w:rPr>
        <w:t>formally recommend</w:t>
      </w:r>
      <w:r w:rsidRPr="00E41325">
        <w:rPr>
          <w:rFonts w:ascii="Times New Roman" w:hAnsi="Times New Roman"/>
          <w:sz w:val="24"/>
          <w:szCs w:val="24"/>
        </w:rPr>
        <w:t xml:space="preserve"> particular solutions to disputes, arbitrate </w:t>
      </w:r>
      <w:r>
        <w:rPr>
          <w:rFonts w:ascii="Times New Roman" w:hAnsi="Times New Roman"/>
          <w:sz w:val="24"/>
          <w:szCs w:val="24"/>
        </w:rPr>
        <w:t xml:space="preserve">complaints or provide formal </w:t>
      </w:r>
      <w:r>
        <w:rPr>
          <w:rFonts w:ascii="Times New Roman" w:eastAsia="Times New Roman" w:hAnsi="Times New Roman"/>
          <w:sz w:val="24"/>
        </w:rPr>
        <w:t>advice.  The Commissioner may, however, suggest possible solutions for consideration by the parties.</w:t>
      </w:r>
      <w:r w:rsidRPr="00DF5276">
        <w:rPr>
          <w:rFonts w:ascii="Times New Roman" w:eastAsia="Times New Roman" w:hAnsi="Times New Roman"/>
          <w:sz w:val="24"/>
        </w:rPr>
        <w:t xml:space="preserve"> </w:t>
      </w:r>
    </w:p>
    <w:p w14:paraId="601E37DC" w14:textId="77777777" w:rsidR="005874E7" w:rsidRDefault="005874E7" w:rsidP="005874E7">
      <w:pPr>
        <w:pStyle w:val="ListParagraph"/>
        <w:numPr>
          <w:ilvl w:val="0"/>
          <w:numId w:val="0"/>
        </w:numPr>
        <w:spacing w:before="100" w:after="100"/>
        <w:ind w:left="360"/>
        <w:rPr>
          <w:rFonts w:ascii="Times New Roman" w:eastAsia="Times New Roman" w:hAnsi="Times New Roman"/>
          <w:sz w:val="24"/>
        </w:rPr>
      </w:pPr>
    </w:p>
    <w:p w14:paraId="0251EA83" w14:textId="77777777" w:rsidR="005874E7" w:rsidRPr="005012EE" w:rsidRDefault="005874E7" w:rsidP="00D35B01">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 xml:space="preserve">In seeking to address resident complaints, </w:t>
      </w:r>
      <w:r w:rsidRPr="00DF5276">
        <w:rPr>
          <w:rFonts w:ascii="Times New Roman" w:eastAsia="Times New Roman" w:hAnsi="Times New Roman"/>
          <w:sz w:val="24"/>
        </w:rPr>
        <w:t xml:space="preserve">the Commissioner </w:t>
      </w:r>
      <w:r w:rsidRPr="00FB0C2A">
        <w:rPr>
          <w:rFonts w:ascii="Times New Roman" w:eastAsia="Times New Roman" w:hAnsi="Times New Roman"/>
          <w:sz w:val="24"/>
        </w:rPr>
        <w:t>will not seek to duplicate or override the important statutory responsibilities of State and Territory governments or local government authorities</w:t>
      </w:r>
      <w:r>
        <w:rPr>
          <w:rFonts w:ascii="Times New Roman" w:eastAsia="Times New Roman" w:hAnsi="Times New Roman"/>
          <w:sz w:val="24"/>
        </w:rPr>
        <w:t>.</w:t>
      </w:r>
      <w:r>
        <w:rPr>
          <w:rFonts w:ascii="Times New Roman" w:eastAsia="Times New Roman" w:hAnsi="Times New Roman"/>
          <w:sz w:val="24"/>
        </w:rPr>
        <w:br/>
      </w:r>
    </w:p>
    <w:p w14:paraId="1B9E532C" w14:textId="77777777" w:rsidR="005874E7" w:rsidRPr="00B22233" w:rsidRDefault="005874E7" w:rsidP="00D35B01">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You may still pursue your complaint via other jurisdictions, such as formal legal action or other dispute resolution mechanisms.</w:t>
      </w:r>
      <w:r>
        <w:rPr>
          <w:rFonts w:ascii="Times New Roman" w:eastAsia="Times New Roman" w:hAnsi="Times New Roman"/>
          <w:sz w:val="24"/>
        </w:rPr>
        <w:br/>
      </w:r>
    </w:p>
    <w:p w14:paraId="23E97F94" w14:textId="77777777" w:rsidR="005874E7" w:rsidRPr="003504B8" w:rsidRDefault="005874E7" w:rsidP="00D35B01">
      <w:pPr>
        <w:pStyle w:val="ListParagraph"/>
        <w:numPr>
          <w:ilvl w:val="0"/>
          <w:numId w:val="21"/>
        </w:numPr>
        <w:spacing w:before="100" w:after="100"/>
        <w:contextualSpacing/>
        <w:rPr>
          <w:rFonts w:ascii="Times New Roman" w:eastAsia="Times New Roman" w:hAnsi="Times New Roman"/>
          <w:sz w:val="24"/>
        </w:rPr>
      </w:pPr>
      <w:r w:rsidRPr="003504B8">
        <w:rPr>
          <w:rFonts w:ascii="Times New Roman" w:eastAsia="Times New Roman" w:hAnsi="Times New Roman"/>
          <w:sz w:val="24"/>
        </w:rPr>
        <w:t xml:space="preserve">Core principles </w:t>
      </w:r>
      <w:r>
        <w:rPr>
          <w:rFonts w:ascii="Times New Roman" w:eastAsia="Times New Roman" w:hAnsi="Times New Roman"/>
          <w:sz w:val="24"/>
        </w:rPr>
        <w:t xml:space="preserve">that guide </w:t>
      </w:r>
      <w:r w:rsidRPr="003504B8">
        <w:rPr>
          <w:rFonts w:ascii="Times New Roman" w:eastAsia="Times New Roman" w:hAnsi="Times New Roman"/>
          <w:sz w:val="24"/>
        </w:rPr>
        <w:t xml:space="preserve">the </w:t>
      </w:r>
      <w:r>
        <w:rPr>
          <w:rFonts w:ascii="Times New Roman" w:eastAsia="Times New Roman" w:hAnsi="Times New Roman"/>
          <w:sz w:val="24"/>
        </w:rPr>
        <w:t>handling of complaints by the Commissioner are</w:t>
      </w:r>
      <w:r w:rsidRPr="003504B8">
        <w:rPr>
          <w:rFonts w:ascii="Times New Roman" w:eastAsia="Times New Roman" w:hAnsi="Times New Roman"/>
          <w:sz w:val="24"/>
        </w:rPr>
        <w:t>:</w:t>
      </w:r>
      <w:r w:rsidRPr="003504B8">
        <w:rPr>
          <w:rFonts w:ascii="Times New Roman" w:eastAsia="Times New Roman" w:hAnsi="Times New Roman"/>
          <w:sz w:val="24"/>
        </w:rPr>
        <w:br/>
      </w:r>
    </w:p>
    <w:p w14:paraId="4FD00AE9" w14:textId="77777777" w:rsidR="005874E7" w:rsidRPr="003504B8" w:rsidRDefault="005874E7" w:rsidP="00D35B01">
      <w:pPr>
        <w:pStyle w:val="ListParagraph"/>
        <w:numPr>
          <w:ilvl w:val="0"/>
          <w:numId w:val="19"/>
        </w:numPr>
        <w:spacing w:before="100" w:after="100"/>
        <w:contextualSpacing/>
        <w:rPr>
          <w:rFonts w:ascii="Times New Roman" w:eastAsia="Times New Roman" w:hAnsi="Times New Roman"/>
          <w:sz w:val="24"/>
        </w:rPr>
      </w:pPr>
      <w:r w:rsidRPr="003504B8">
        <w:rPr>
          <w:rFonts w:ascii="Times New Roman" w:eastAsia="Times New Roman" w:hAnsi="Times New Roman"/>
          <w:sz w:val="24"/>
        </w:rPr>
        <w:t>We are independent</w:t>
      </w:r>
      <w:r>
        <w:rPr>
          <w:rFonts w:ascii="Times New Roman" w:eastAsia="Times New Roman" w:hAnsi="Times New Roman"/>
          <w:sz w:val="24"/>
        </w:rPr>
        <w:t>.</w:t>
      </w:r>
    </w:p>
    <w:p w14:paraId="7B3F64AF" w14:textId="77777777" w:rsidR="005874E7" w:rsidRPr="003504B8" w:rsidRDefault="005874E7" w:rsidP="00D35B01">
      <w:pPr>
        <w:pStyle w:val="ListParagraph"/>
        <w:numPr>
          <w:ilvl w:val="0"/>
          <w:numId w:val="19"/>
        </w:numPr>
        <w:spacing w:before="100" w:after="100"/>
        <w:contextualSpacing/>
        <w:rPr>
          <w:rFonts w:ascii="Times New Roman" w:eastAsia="Times New Roman" w:hAnsi="Times New Roman"/>
          <w:sz w:val="24"/>
        </w:rPr>
      </w:pPr>
      <w:r w:rsidRPr="003504B8">
        <w:rPr>
          <w:rFonts w:ascii="Times New Roman" w:eastAsia="Times New Roman" w:hAnsi="Times New Roman"/>
          <w:sz w:val="24"/>
        </w:rPr>
        <w:t xml:space="preserve">Our role is to use best efforts to </w:t>
      </w:r>
      <w:r>
        <w:rPr>
          <w:rFonts w:ascii="Times New Roman" w:eastAsia="Times New Roman" w:hAnsi="Times New Roman"/>
          <w:sz w:val="24"/>
        </w:rPr>
        <w:t>assist</w:t>
      </w:r>
      <w:r w:rsidRPr="003504B8">
        <w:rPr>
          <w:rFonts w:ascii="Times New Roman" w:eastAsia="Times New Roman" w:hAnsi="Times New Roman"/>
          <w:sz w:val="24"/>
        </w:rPr>
        <w:t xml:space="preserve"> </w:t>
      </w:r>
      <w:r>
        <w:rPr>
          <w:rFonts w:ascii="Times New Roman" w:eastAsia="Times New Roman" w:hAnsi="Times New Roman"/>
          <w:sz w:val="24"/>
        </w:rPr>
        <w:t xml:space="preserve">the </w:t>
      </w:r>
      <w:r w:rsidRPr="003504B8">
        <w:rPr>
          <w:rFonts w:ascii="Times New Roman" w:eastAsia="Times New Roman" w:hAnsi="Times New Roman"/>
          <w:sz w:val="24"/>
        </w:rPr>
        <w:t xml:space="preserve">parties to find acceptable </w:t>
      </w:r>
      <w:r>
        <w:rPr>
          <w:rFonts w:ascii="Times New Roman" w:eastAsia="Times New Roman" w:hAnsi="Times New Roman"/>
          <w:sz w:val="24"/>
        </w:rPr>
        <w:t>outcomes and reach agreement on a way forward.</w:t>
      </w:r>
    </w:p>
    <w:p w14:paraId="4A0677D2" w14:textId="77777777" w:rsidR="005874E7" w:rsidRDefault="005874E7" w:rsidP="00D35B01">
      <w:pPr>
        <w:pStyle w:val="ListParagraph"/>
        <w:numPr>
          <w:ilvl w:val="0"/>
          <w:numId w:val="19"/>
        </w:numPr>
        <w:spacing w:before="100" w:after="100"/>
        <w:contextualSpacing/>
        <w:rPr>
          <w:rFonts w:ascii="Times New Roman" w:eastAsia="Times New Roman" w:hAnsi="Times New Roman"/>
          <w:sz w:val="24"/>
        </w:rPr>
      </w:pPr>
      <w:r>
        <w:rPr>
          <w:rFonts w:ascii="Times New Roman" w:eastAsia="Times New Roman" w:hAnsi="Times New Roman"/>
          <w:sz w:val="24"/>
        </w:rPr>
        <w:t>We will assist parties to share fact and evidence based information relevant to a complaint so that they can work towards an outcome.</w:t>
      </w:r>
    </w:p>
    <w:p w14:paraId="752FA301" w14:textId="77777777" w:rsidR="005874E7" w:rsidRDefault="005874E7" w:rsidP="00D35B01">
      <w:pPr>
        <w:pStyle w:val="ListParagraph"/>
        <w:numPr>
          <w:ilvl w:val="0"/>
          <w:numId w:val="19"/>
        </w:numPr>
        <w:spacing w:before="100" w:after="100"/>
        <w:contextualSpacing/>
        <w:rPr>
          <w:rFonts w:ascii="Times New Roman" w:eastAsia="Times New Roman" w:hAnsi="Times New Roman"/>
          <w:sz w:val="24"/>
        </w:rPr>
      </w:pPr>
      <w:r>
        <w:rPr>
          <w:rFonts w:ascii="Times New Roman" w:eastAsia="Times New Roman" w:hAnsi="Times New Roman"/>
          <w:sz w:val="24"/>
        </w:rPr>
        <w:t>We will always act independently, impartially and ethically.</w:t>
      </w:r>
    </w:p>
    <w:p w14:paraId="3F8D56E6" w14:textId="77777777" w:rsidR="005874E7" w:rsidRDefault="005874E7" w:rsidP="00D35B01">
      <w:pPr>
        <w:pStyle w:val="ListParagraph"/>
        <w:numPr>
          <w:ilvl w:val="0"/>
          <w:numId w:val="19"/>
        </w:numPr>
        <w:spacing w:before="100" w:after="100"/>
        <w:contextualSpacing/>
        <w:rPr>
          <w:rFonts w:ascii="Times New Roman" w:eastAsia="Times New Roman" w:hAnsi="Times New Roman"/>
          <w:sz w:val="24"/>
        </w:rPr>
      </w:pPr>
      <w:r>
        <w:rPr>
          <w:rFonts w:ascii="Times New Roman" w:eastAsia="Times New Roman" w:hAnsi="Times New Roman"/>
          <w:sz w:val="24"/>
        </w:rPr>
        <w:lastRenderedPageBreak/>
        <w:t>We expect that the parties involved in a matter brought to the Commissioner will act with integrity and respect, and be genuinely seeking an outcome to the issues raised.</w:t>
      </w:r>
    </w:p>
    <w:p w14:paraId="2C4B8102" w14:textId="77777777" w:rsidR="005874E7" w:rsidRDefault="005874E7" w:rsidP="00D35B01">
      <w:pPr>
        <w:pStyle w:val="ListParagraph"/>
        <w:numPr>
          <w:ilvl w:val="0"/>
          <w:numId w:val="19"/>
        </w:numPr>
        <w:spacing w:before="100" w:after="100"/>
        <w:contextualSpacing/>
        <w:rPr>
          <w:rFonts w:ascii="Times New Roman" w:eastAsia="Times New Roman" w:hAnsi="Times New Roman"/>
          <w:sz w:val="24"/>
        </w:rPr>
      </w:pPr>
      <w:r>
        <w:rPr>
          <w:rFonts w:ascii="Times New Roman" w:eastAsia="Times New Roman" w:hAnsi="Times New Roman"/>
          <w:sz w:val="24"/>
        </w:rPr>
        <w:t>The Commissioner’s process is a voluntary process.</w:t>
      </w:r>
      <w:r>
        <w:rPr>
          <w:rFonts w:ascii="Times New Roman" w:eastAsia="Times New Roman" w:hAnsi="Times New Roman"/>
          <w:sz w:val="24"/>
        </w:rPr>
        <w:br/>
      </w:r>
    </w:p>
    <w:p w14:paraId="67A10031" w14:textId="77777777" w:rsidR="005874E7" w:rsidRPr="00107E67" w:rsidRDefault="005874E7" w:rsidP="00D35B01">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T</w:t>
      </w:r>
      <w:r w:rsidRPr="00107E67">
        <w:rPr>
          <w:rFonts w:ascii="Times New Roman" w:eastAsia="Times New Roman" w:hAnsi="Times New Roman"/>
          <w:sz w:val="24"/>
        </w:rPr>
        <w:t xml:space="preserve">he Commissioner will use best efforts to </w:t>
      </w:r>
      <w:r>
        <w:rPr>
          <w:rFonts w:ascii="Times New Roman" w:eastAsia="Times New Roman" w:hAnsi="Times New Roman"/>
          <w:sz w:val="24"/>
        </w:rPr>
        <w:t xml:space="preserve">assist parties to </w:t>
      </w:r>
      <w:r w:rsidRPr="00107E67">
        <w:rPr>
          <w:rFonts w:ascii="Times New Roman" w:eastAsia="Times New Roman" w:hAnsi="Times New Roman"/>
          <w:sz w:val="24"/>
        </w:rPr>
        <w:t xml:space="preserve">resolve </w:t>
      </w:r>
      <w:r>
        <w:rPr>
          <w:rFonts w:ascii="Times New Roman" w:eastAsia="Times New Roman" w:hAnsi="Times New Roman"/>
          <w:sz w:val="24"/>
        </w:rPr>
        <w:t>complaint</w:t>
      </w:r>
      <w:r w:rsidRPr="00107E67">
        <w:rPr>
          <w:rFonts w:ascii="Times New Roman" w:eastAsia="Times New Roman" w:hAnsi="Times New Roman"/>
          <w:sz w:val="24"/>
        </w:rPr>
        <w:t xml:space="preserve">s </w:t>
      </w:r>
      <w:r>
        <w:rPr>
          <w:rFonts w:ascii="Times New Roman" w:eastAsia="Times New Roman" w:hAnsi="Times New Roman"/>
          <w:sz w:val="24"/>
        </w:rPr>
        <w:t>received by the Office, however,</w:t>
      </w:r>
      <w:r w:rsidRPr="00107E67">
        <w:rPr>
          <w:rFonts w:ascii="Times New Roman" w:eastAsia="Times New Roman" w:hAnsi="Times New Roman"/>
          <w:sz w:val="24"/>
        </w:rPr>
        <w:t xml:space="preserve"> </w:t>
      </w:r>
      <w:r>
        <w:rPr>
          <w:rFonts w:ascii="Times New Roman" w:hAnsi="Times New Roman"/>
          <w:sz w:val="24"/>
          <w:szCs w:val="24"/>
        </w:rPr>
        <w:t>t</w:t>
      </w:r>
      <w:r w:rsidRPr="00E41325">
        <w:rPr>
          <w:rFonts w:ascii="Times New Roman" w:hAnsi="Times New Roman"/>
          <w:sz w:val="24"/>
          <w:szCs w:val="24"/>
        </w:rPr>
        <w:t xml:space="preserve">he Commissioner will not provide legal, professional or technical advice to any person. While </w:t>
      </w:r>
      <w:r>
        <w:rPr>
          <w:rFonts w:ascii="Times New Roman" w:hAnsi="Times New Roman"/>
          <w:sz w:val="24"/>
          <w:szCs w:val="24"/>
        </w:rPr>
        <w:t xml:space="preserve">the Commissioner </w:t>
      </w:r>
      <w:r w:rsidRPr="00E41325">
        <w:rPr>
          <w:rFonts w:ascii="Times New Roman" w:hAnsi="Times New Roman"/>
          <w:sz w:val="24"/>
          <w:szCs w:val="24"/>
        </w:rPr>
        <w:t xml:space="preserve">will undertake </w:t>
      </w:r>
      <w:r>
        <w:rPr>
          <w:rFonts w:ascii="Times New Roman" w:hAnsi="Times New Roman"/>
          <w:sz w:val="24"/>
          <w:szCs w:val="24"/>
        </w:rPr>
        <w:t>t</w:t>
      </w:r>
      <w:r w:rsidRPr="00E41325">
        <w:rPr>
          <w:rFonts w:ascii="Times New Roman" w:hAnsi="Times New Roman"/>
          <w:sz w:val="24"/>
          <w:szCs w:val="24"/>
        </w:rPr>
        <w:t>h</w:t>
      </w:r>
      <w:r>
        <w:rPr>
          <w:rFonts w:ascii="Times New Roman" w:hAnsi="Times New Roman"/>
          <w:sz w:val="24"/>
          <w:szCs w:val="24"/>
        </w:rPr>
        <w:t>e</w:t>
      </w:r>
      <w:r w:rsidRPr="00E41325">
        <w:rPr>
          <w:rFonts w:ascii="Times New Roman" w:hAnsi="Times New Roman"/>
          <w:sz w:val="24"/>
          <w:szCs w:val="24"/>
        </w:rPr>
        <w:t xml:space="preserve"> role with due care, the Commissioner or the Commonwealth will not be liable for any loss or damage arising from </w:t>
      </w:r>
      <w:r>
        <w:rPr>
          <w:rFonts w:ascii="Times New Roman" w:hAnsi="Times New Roman"/>
          <w:sz w:val="24"/>
          <w:szCs w:val="24"/>
        </w:rPr>
        <w:t xml:space="preserve">the Commissioner’s </w:t>
      </w:r>
      <w:r w:rsidRPr="00E41325">
        <w:rPr>
          <w:rFonts w:ascii="Times New Roman" w:hAnsi="Times New Roman"/>
          <w:sz w:val="24"/>
          <w:szCs w:val="24"/>
        </w:rPr>
        <w:t>activities.</w:t>
      </w:r>
    </w:p>
    <w:p w14:paraId="2691492B" w14:textId="77777777" w:rsidR="005874E7" w:rsidRDefault="005874E7" w:rsidP="005874E7">
      <w:pPr>
        <w:spacing w:after="0"/>
        <w:rPr>
          <w:rFonts w:ascii="Times New Roman" w:eastAsia="Times New Roman" w:hAnsi="Times New Roman"/>
          <w:b/>
          <w:color w:val="000000" w:themeColor="text1"/>
          <w:sz w:val="28"/>
        </w:rPr>
      </w:pPr>
    </w:p>
    <w:p w14:paraId="2EB0C9A5" w14:textId="77777777" w:rsidR="005874E7" w:rsidRDefault="005874E7" w:rsidP="005874E7">
      <w:pPr>
        <w:spacing w:after="0"/>
        <w:rPr>
          <w:rFonts w:ascii="Times New Roman" w:eastAsia="Times New Roman" w:hAnsi="Times New Roman"/>
          <w:b/>
          <w:color w:val="000000" w:themeColor="text1"/>
          <w:sz w:val="28"/>
        </w:rPr>
      </w:pPr>
      <w:r w:rsidRPr="00027585">
        <w:rPr>
          <w:rFonts w:ascii="Times New Roman" w:eastAsia="Times New Roman" w:hAnsi="Times New Roman"/>
          <w:b/>
          <w:color w:val="000000" w:themeColor="text1"/>
          <w:sz w:val="28"/>
        </w:rPr>
        <w:t>Our procedures for handling complaints</w:t>
      </w:r>
    </w:p>
    <w:p w14:paraId="4F347C4F" w14:textId="77777777" w:rsidR="005874E7" w:rsidRPr="00593024" w:rsidRDefault="005874E7" w:rsidP="005874E7">
      <w:pPr>
        <w:spacing w:after="0"/>
        <w:rPr>
          <w:rFonts w:ascii="Times New Roman" w:eastAsia="Times New Roman" w:hAnsi="Times New Roman"/>
          <w:b/>
          <w:color w:val="000000" w:themeColor="text1"/>
          <w:sz w:val="24"/>
        </w:rPr>
      </w:pPr>
    </w:p>
    <w:p w14:paraId="2B91B379" w14:textId="77777777" w:rsidR="005874E7" w:rsidRDefault="005874E7" w:rsidP="00D35B01">
      <w:pPr>
        <w:pStyle w:val="ListParagraph"/>
        <w:numPr>
          <w:ilvl w:val="0"/>
          <w:numId w:val="21"/>
        </w:numPr>
        <w:spacing w:before="100" w:after="100"/>
        <w:contextualSpacing/>
        <w:rPr>
          <w:rFonts w:ascii="Times New Roman" w:eastAsia="Times New Roman" w:hAnsi="Times New Roman"/>
          <w:sz w:val="24"/>
        </w:rPr>
      </w:pPr>
      <w:r w:rsidRPr="000B1594">
        <w:rPr>
          <w:rFonts w:ascii="Times New Roman" w:eastAsia="Times New Roman" w:hAnsi="Times New Roman"/>
          <w:sz w:val="24"/>
        </w:rPr>
        <w:t xml:space="preserve">The Commissioner will receive </w:t>
      </w:r>
      <w:r>
        <w:rPr>
          <w:rFonts w:ascii="Times New Roman" w:eastAsia="Times New Roman" w:hAnsi="Times New Roman"/>
          <w:sz w:val="24"/>
        </w:rPr>
        <w:t>complaint</w:t>
      </w:r>
      <w:r w:rsidRPr="000B1594">
        <w:rPr>
          <w:rFonts w:ascii="Times New Roman" w:eastAsia="Times New Roman" w:hAnsi="Times New Roman"/>
          <w:sz w:val="24"/>
        </w:rPr>
        <w:t xml:space="preserve">s from concerned residents who reside in a dwelling within proximity to a proposed or operating wind farm facility. </w:t>
      </w:r>
      <w:r>
        <w:rPr>
          <w:rFonts w:ascii="Times New Roman" w:eastAsia="Times New Roman" w:hAnsi="Times New Roman"/>
          <w:sz w:val="24"/>
        </w:rPr>
        <w:t xml:space="preserve"> </w:t>
      </w:r>
      <w:r w:rsidRPr="000B1594">
        <w:rPr>
          <w:rFonts w:ascii="Times New Roman" w:eastAsia="Times New Roman" w:hAnsi="Times New Roman"/>
          <w:sz w:val="24"/>
        </w:rPr>
        <w:t>The concerned resident may be represented by</w:t>
      </w:r>
      <w:r>
        <w:rPr>
          <w:rFonts w:ascii="Times New Roman" w:eastAsia="Times New Roman" w:hAnsi="Times New Roman"/>
          <w:sz w:val="24"/>
        </w:rPr>
        <w:t xml:space="preserve"> an appropriate nominee </w:t>
      </w:r>
      <w:r w:rsidRPr="000B1594">
        <w:rPr>
          <w:rFonts w:ascii="Times New Roman" w:eastAsia="Times New Roman" w:hAnsi="Times New Roman"/>
          <w:sz w:val="24"/>
        </w:rPr>
        <w:t xml:space="preserve">acceptable to </w:t>
      </w:r>
      <w:r>
        <w:rPr>
          <w:rFonts w:ascii="Times New Roman" w:eastAsia="Times New Roman" w:hAnsi="Times New Roman"/>
          <w:sz w:val="24"/>
        </w:rPr>
        <w:t xml:space="preserve">and approved by </w:t>
      </w:r>
      <w:r w:rsidRPr="000B1594">
        <w:rPr>
          <w:rFonts w:ascii="Times New Roman" w:eastAsia="Times New Roman" w:hAnsi="Times New Roman"/>
          <w:sz w:val="24"/>
        </w:rPr>
        <w:t>the Commissioner.</w:t>
      </w:r>
      <w:r>
        <w:rPr>
          <w:rFonts w:ascii="Times New Roman" w:eastAsia="Times New Roman" w:hAnsi="Times New Roman"/>
          <w:sz w:val="24"/>
        </w:rPr>
        <w:br/>
      </w:r>
    </w:p>
    <w:p w14:paraId="0F9EFB75" w14:textId="77777777" w:rsidR="005874E7" w:rsidRPr="00BC0E10" w:rsidRDefault="005874E7" w:rsidP="00D35B01">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The Commissioner may decide not to handle a complaint.  One of the factors in determining whether or not the Commissioner will handle a complaint will be how current the issue is.  For example, the Commissioner is more likely to accept a complaint that relates to a current issue as there will more current and available evidence and prospects of resolution.  Older complaints, particularly those that were about issues that occurred more than six years ago, are unlikely to be considered.</w:t>
      </w:r>
      <w:r w:rsidRPr="00BC0E10">
        <w:rPr>
          <w:rFonts w:ascii="Times New Roman" w:eastAsia="Times New Roman" w:hAnsi="Times New Roman"/>
          <w:sz w:val="24"/>
        </w:rPr>
        <w:t xml:space="preserve"> </w:t>
      </w:r>
      <w:r>
        <w:rPr>
          <w:rFonts w:ascii="Times New Roman" w:eastAsia="Times New Roman" w:hAnsi="Times New Roman"/>
          <w:sz w:val="24"/>
        </w:rPr>
        <w:br/>
      </w:r>
    </w:p>
    <w:p w14:paraId="61216A74" w14:textId="77777777" w:rsidR="005874E7" w:rsidRPr="005918E5" w:rsidRDefault="005874E7" w:rsidP="00D35B01">
      <w:pPr>
        <w:pStyle w:val="ListParagraph"/>
        <w:numPr>
          <w:ilvl w:val="0"/>
          <w:numId w:val="21"/>
        </w:numPr>
        <w:spacing w:before="100" w:after="100"/>
        <w:contextualSpacing/>
        <w:rPr>
          <w:rFonts w:ascii="Times New Roman" w:eastAsia="Times New Roman" w:hAnsi="Times New Roman"/>
          <w:sz w:val="24"/>
        </w:rPr>
      </w:pPr>
      <w:r w:rsidRPr="005918E5">
        <w:rPr>
          <w:rFonts w:ascii="Times New Roman" w:eastAsia="Times New Roman" w:hAnsi="Times New Roman"/>
          <w:sz w:val="24"/>
        </w:rPr>
        <w:t xml:space="preserve">Our procedures enable us to provide an independent, objective and consistent process for responding to enquiries and for handling </w:t>
      </w:r>
      <w:r>
        <w:rPr>
          <w:rFonts w:ascii="Times New Roman" w:eastAsia="Times New Roman" w:hAnsi="Times New Roman"/>
          <w:sz w:val="24"/>
        </w:rPr>
        <w:t>complaint</w:t>
      </w:r>
      <w:r w:rsidRPr="005918E5">
        <w:rPr>
          <w:rFonts w:ascii="Times New Roman" w:eastAsia="Times New Roman" w:hAnsi="Times New Roman"/>
          <w:sz w:val="24"/>
        </w:rPr>
        <w:t>s from con</w:t>
      </w:r>
      <w:r>
        <w:rPr>
          <w:rFonts w:ascii="Times New Roman" w:eastAsia="Times New Roman" w:hAnsi="Times New Roman"/>
          <w:sz w:val="24"/>
        </w:rPr>
        <w:t>cerned residents.  There are five</w:t>
      </w:r>
      <w:r w:rsidRPr="005918E5">
        <w:rPr>
          <w:rFonts w:ascii="Times New Roman" w:eastAsia="Times New Roman" w:hAnsi="Times New Roman"/>
          <w:sz w:val="24"/>
        </w:rPr>
        <w:t xml:space="preserve"> main steps in our </w:t>
      </w:r>
      <w:r>
        <w:rPr>
          <w:rFonts w:ascii="Times New Roman" w:eastAsia="Times New Roman" w:hAnsi="Times New Roman"/>
          <w:sz w:val="24"/>
        </w:rPr>
        <w:t>complaint resolution process</w:t>
      </w:r>
      <w:r w:rsidRPr="005918E5">
        <w:rPr>
          <w:rFonts w:ascii="Times New Roman" w:eastAsia="Times New Roman" w:hAnsi="Times New Roman"/>
          <w:sz w:val="24"/>
        </w:rPr>
        <w:t>:</w:t>
      </w:r>
    </w:p>
    <w:p w14:paraId="59FDD1C2" w14:textId="77777777" w:rsidR="005874E7" w:rsidRDefault="005874E7" w:rsidP="00D35B01">
      <w:pPr>
        <w:pStyle w:val="NoSpacing"/>
        <w:numPr>
          <w:ilvl w:val="0"/>
          <w:numId w:val="22"/>
        </w:numPr>
        <w:spacing w:line="360" w:lineRule="auto"/>
        <w:rPr>
          <w:rFonts w:ascii="Times New Roman" w:eastAsia="Times New Roman" w:hAnsi="Times New Roman" w:cs="Times New Roman"/>
          <w:b/>
          <w:color w:val="000000" w:themeColor="text1"/>
          <w:sz w:val="24"/>
          <w:szCs w:val="24"/>
        </w:rPr>
      </w:pPr>
      <w:r w:rsidRPr="00027585">
        <w:rPr>
          <w:rFonts w:ascii="Times New Roman" w:eastAsia="Times New Roman" w:hAnsi="Times New Roman" w:cs="Times New Roman"/>
          <w:b/>
          <w:color w:val="000000" w:themeColor="text1"/>
          <w:sz w:val="24"/>
          <w:szCs w:val="24"/>
        </w:rPr>
        <w:t>Enquiry</w:t>
      </w:r>
    </w:p>
    <w:p w14:paraId="7964F5B6" w14:textId="77777777" w:rsidR="005874E7" w:rsidRDefault="005874E7" w:rsidP="00D35B01">
      <w:pPr>
        <w:pStyle w:val="NoSpacing"/>
        <w:numPr>
          <w:ilvl w:val="0"/>
          <w:numId w:val="22"/>
        </w:numPr>
        <w:spacing w:line="360" w:lineRule="auto"/>
        <w:rPr>
          <w:rFonts w:ascii="Times New Roman" w:eastAsia="Times New Roman" w:hAnsi="Times New Roman" w:cs="Times New Roman"/>
          <w:b/>
          <w:color w:val="000000" w:themeColor="text1"/>
          <w:sz w:val="24"/>
          <w:szCs w:val="24"/>
        </w:rPr>
      </w:pPr>
      <w:r w:rsidRPr="00027585">
        <w:rPr>
          <w:rFonts w:ascii="Times New Roman" w:eastAsia="Times New Roman" w:hAnsi="Times New Roman" w:cs="Times New Roman"/>
          <w:b/>
          <w:color w:val="000000" w:themeColor="text1"/>
          <w:sz w:val="24"/>
          <w:szCs w:val="24"/>
        </w:rPr>
        <w:t>Complaint</w:t>
      </w:r>
    </w:p>
    <w:p w14:paraId="31333916" w14:textId="77777777" w:rsidR="005874E7" w:rsidRPr="00027585" w:rsidRDefault="005874E7" w:rsidP="00D35B01">
      <w:pPr>
        <w:pStyle w:val="NoSpacing"/>
        <w:numPr>
          <w:ilvl w:val="0"/>
          <w:numId w:val="22"/>
        </w:numPr>
        <w:spacing w:line="360" w:lineRule="auto"/>
        <w:rPr>
          <w:rFonts w:ascii="Times New Roman" w:eastAsia="Times New Roman" w:hAnsi="Times New Roman" w:cs="Times New Roman"/>
          <w:b/>
          <w:color w:val="000000" w:themeColor="text1"/>
          <w:sz w:val="24"/>
          <w:szCs w:val="24"/>
        </w:rPr>
      </w:pPr>
      <w:r w:rsidRPr="00027585">
        <w:rPr>
          <w:rFonts w:ascii="Times New Roman" w:eastAsia="Times New Roman" w:hAnsi="Times New Roman" w:cs="Times New Roman"/>
          <w:b/>
          <w:color w:val="000000" w:themeColor="text1"/>
          <w:sz w:val="24"/>
          <w:szCs w:val="24"/>
        </w:rPr>
        <w:t>Referral</w:t>
      </w:r>
    </w:p>
    <w:p w14:paraId="1521BF1C" w14:textId="77777777" w:rsidR="005874E7" w:rsidRPr="00196A4E" w:rsidRDefault="005874E7" w:rsidP="00D35B01">
      <w:pPr>
        <w:pStyle w:val="NoSpacing"/>
        <w:numPr>
          <w:ilvl w:val="0"/>
          <w:numId w:val="22"/>
        </w:numPr>
        <w:spacing w:line="360" w:lineRule="auto"/>
        <w:rPr>
          <w:rFonts w:ascii="Times New Roman" w:eastAsia="Times New Roman" w:hAnsi="Times New Roman" w:cs="Times New Roman"/>
          <w:b/>
          <w:color w:val="000000" w:themeColor="text1"/>
          <w:sz w:val="24"/>
          <w:szCs w:val="24"/>
        </w:rPr>
      </w:pPr>
      <w:r w:rsidRPr="00196A4E">
        <w:rPr>
          <w:rFonts w:ascii="Times New Roman" w:eastAsia="Times New Roman" w:hAnsi="Times New Roman" w:cs="Times New Roman"/>
          <w:b/>
          <w:color w:val="000000" w:themeColor="text1"/>
          <w:sz w:val="24"/>
          <w:szCs w:val="24"/>
        </w:rPr>
        <w:t>Conciliation</w:t>
      </w:r>
    </w:p>
    <w:p w14:paraId="4AAD5EE7" w14:textId="77777777" w:rsidR="005874E7" w:rsidRDefault="005874E7" w:rsidP="00D35B01">
      <w:pPr>
        <w:pStyle w:val="NoSpacing"/>
        <w:numPr>
          <w:ilvl w:val="0"/>
          <w:numId w:val="22"/>
        </w:numPr>
        <w:spacing w:before="100" w:after="100" w:line="360" w:lineRule="auto"/>
        <w:rPr>
          <w:rFonts w:ascii="Times New Roman" w:eastAsia="Times New Roman" w:hAnsi="Times New Roman" w:cs="Times New Roman"/>
          <w:b/>
          <w:color w:val="000000" w:themeColor="text1"/>
          <w:sz w:val="24"/>
          <w:szCs w:val="24"/>
        </w:rPr>
      </w:pPr>
      <w:r w:rsidRPr="00685AEA">
        <w:rPr>
          <w:rFonts w:ascii="Times New Roman" w:eastAsia="Times New Roman" w:hAnsi="Times New Roman" w:cs="Times New Roman"/>
          <w:b/>
          <w:color w:val="000000" w:themeColor="text1"/>
          <w:sz w:val="24"/>
          <w:szCs w:val="24"/>
        </w:rPr>
        <w:t>Closure.</w:t>
      </w:r>
      <w:r w:rsidRPr="00685AEA">
        <w:rPr>
          <w:rFonts w:ascii="Times New Roman" w:eastAsia="Times New Roman" w:hAnsi="Times New Roman" w:cs="Times New Roman"/>
          <w:b/>
          <w:color w:val="000000" w:themeColor="text1"/>
          <w:sz w:val="24"/>
          <w:szCs w:val="24"/>
        </w:rPr>
        <w:br/>
      </w:r>
    </w:p>
    <w:p w14:paraId="781E9390" w14:textId="77777777" w:rsidR="005874E7" w:rsidRPr="00685AEA" w:rsidRDefault="005874E7" w:rsidP="005874E7">
      <w:pPr>
        <w:pStyle w:val="NoSpacing"/>
        <w:spacing w:before="100" w:after="100" w:line="360" w:lineRule="auto"/>
        <w:rPr>
          <w:rFonts w:ascii="Times New Roman" w:eastAsia="Times New Roman" w:hAnsi="Times New Roman" w:cs="Times New Roman"/>
          <w:b/>
          <w:color w:val="000000" w:themeColor="text1"/>
          <w:sz w:val="24"/>
          <w:szCs w:val="24"/>
        </w:rPr>
      </w:pPr>
      <w:r w:rsidRPr="00685AEA">
        <w:rPr>
          <w:rFonts w:ascii="Times New Roman" w:eastAsia="Times New Roman" w:hAnsi="Times New Roman" w:cs="Times New Roman"/>
          <w:b/>
          <w:color w:val="000000" w:themeColor="text1"/>
          <w:sz w:val="24"/>
          <w:szCs w:val="24"/>
        </w:rPr>
        <w:t>Enquiry</w:t>
      </w:r>
      <w:r w:rsidRPr="00685AEA">
        <w:rPr>
          <w:rFonts w:ascii="Times New Roman" w:eastAsia="Times New Roman" w:hAnsi="Times New Roman" w:cs="Times New Roman"/>
          <w:b/>
          <w:color w:val="000000" w:themeColor="text1"/>
          <w:sz w:val="24"/>
          <w:szCs w:val="24"/>
        </w:rPr>
        <w:br/>
      </w:r>
    </w:p>
    <w:p w14:paraId="480FFEBD" w14:textId="77777777" w:rsidR="005874E7" w:rsidRPr="005918E5" w:rsidRDefault="005874E7" w:rsidP="00D35B01">
      <w:pPr>
        <w:pStyle w:val="ListParagraph"/>
        <w:numPr>
          <w:ilvl w:val="0"/>
          <w:numId w:val="21"/>
        </w:numPr>
        <w:spacing w:before="100" w:after="100"/>
        <w:contextualSpacing/>
        <w:rPr>
          <w:rFonts w:ascii="Times New Roman" w:eastAsia="Times New Roman" w:hAnsi="Times New Roman"/>
          <w:sz w:val="24"/>
        </w:rPr>
      </w:pPr>
      <w:r w:rsidRPr="00B22233">
        <w:rPr>
          <w:rFonts w:ascii="Times New Roman" w:eastAsia="Times New Roman" w:hAnsi="Times New Roman"/>
          <w:color w:val="000000" w:themeColor="text1"/>
          <w:sz w:val="24"/>
          <w:szCs w:val="24"/>
        </w:rPr>
        <w:t>You</w:t>
      </w:r>
      <w:r w:rsidRPr="00B22233">
        <w:rPr>
          <w:rFonts w:ascii="Times New Roman" w:eastAsia="Times New Roman" w:hAnsi="Times New Roman"/>
          <w:sz w:val="24"/>
          <w:szCs w:val="24"/>
        </w:rPr>
        <w:t xml:space="preserve">r </w:t>
      </w:r>
      <w:r w:rsidRPr="00B22233">
        <w:rPr>
          <w:rFonts w:ascii="Times New Roman" w:eastAsia="Times New Roman" w:hAnsi="Times New Roman"/>
          <w:sz w:val="24"/>
        </w:rPr>
        <w:t>i</w:t>
      </w:r>
      <w:r w:rsidRPr="005918E5">
        <w:rPr>
          <w:rFonts w:ascii="Times New Roman" w:eastAsia="Times New Roman" w:hAnsi="Times New Roman"/>
          <w:sz w:val="24"/>
        </w:rPr>
        <w:t>nitial contact to the Commissioner will be treated as an enquiry</w:t>
      </w:r>
      <w:r>
        <w:rPr>
          <w:rFonts w:ascii="Times New Roman" w:eastAsia="Times New Roman" w:hAnsi="Times New Roman"/>
          <w:sz w:val="24"/>
        </w:rPr>
        <w:t xml:space="preserve"> if you</w:t>
      </w:r>
      <w:r w:rsidRPr="005918E5">
        <w:rPr>
          <w:rFonts w:ascii="Times New Roman" w:eastAsia="Times New Roman" w:hAnsi="Times New Roman"/>
          <w:sz w:val="24"/>
        </w:rPr>
        <w:t>:</w:t>
      </w:r>
    </w:p>
    <w:p w14:paraId="28AC6337" w14:textId="77777777" w:rsidR="005874E7" w:rsidRDefault="005874E7" w:rsidP="00D35B01">
      <w:pPr>
        <w:numPr>
          <w:ilvl w:val="0"/>
          <w:numId w:val="15"/>
        </w:numPr>
        <w:tabs>
          <w:tab w:val="left" w:pos="720"/>
        </w:tabs>
        <w:spacing w:before="100" w:after="100"/>
        <w:ind w:left="720" w:hanging="360"/>
        <w:rPr>
          <w:rFonts w:ascii="Times New Roman" w:eastAsia="Times New Roman" w:hAnsi="Times New Roman"/>
          <w:sz w:val="24"/>
        </w:rPr>
      </w:pPr>
      <w:r>
        <w:rPr>
          <w:rFonts w:ascii="Times New Roman" w:eastAsia="Times New Roman" w:hAnsi="Times New Roman"/>
          <w:sz w:val="24"/>
        </w:rPr>
        <w:t>are requesting or providing information only</w:t>
      </w:r>
    </w:p>
    <w:p w14:paraId="7867048D" w14:textId="77777777" w:rsidR="005874E7" w:rsidRDefault="005874E7" w:rsidP="00D35B01">
      <w:pPr>
        <w:numPr>
          <w:ilvl w:val="0"/>
          <w:numId w:val="15"/>
        </w:numPr>
        <w:tabs>
          <w:tab w:val="left" w:pos="720"/>
        </w:tabs>
        <w:spacing w:before="100" w:after="100"/>
        <w:ind w:left="720" w:hanging="360"/>
        <w:rPr>
          <w:rFonts w:ascii="Times New Roman" w:eastAsia="Times New Roman" w:hAnsi="Times New Roman"/>
          <w:sz w:val="24"/>
        </w:rPr>
      </w:pPr>
      <w:r>
        <w:rPr>
          <w:rFonts w:ascii="Times New Roman" w:eastAsia="Times New Roman" w:hAnsi="Times New Roman"/>
          <w:sz w:val="24"/>
        </w:rPr>
        <w:t>choose to remain anonymous</w:t>
      </w:r>
    </w:p>
    <w:p w14:paraId="232691AE" w14:textId="77777777" w:rsidR="005874E7" w:rsidRDefault="005874E7" w:rsidP="00D35B01">
      <w:pPr>
        <w:numPr>
          <w:ilvl w:val="0"/>
          <w:numId w:val="15"/>
        </w:numPr>
        <w:tabs>
          <w:tab w:val="left" w:pos="720"/>
        </w:tabs>
        <w:spacing w:before="100" w:after="100"/>
        <w:ind w:left="720" w:hanging="360"/>
        <w:rPr>
          <w:rFonts w:ascii="Times New Roman" w:eastAsia="Times New Roman" w:hAnsi="Times New Roman"/>
          <w:sz w:val="24"/>
        </w:rPr>
      </w:pPr>
      <w:r>
        <w:rPr>
          <w:rFonts w:ascii="Times New Roman" w:eastAsia="Times New Roman" w:hAnsi="Times New Roman"/>
          <w:sz w:val="24"/>
        </w:rPr>
        <w:t>are not a resident or a person working within proximity to a proposed or operating wind farm facility; or</w:t>
      </w:r>
    </w:p>
    <w:p w14:paraId="19AF8ED0" w14:textId="77777777" w:rsidR="005874E7" w:rsidRDefault="005874E7" w:rsidP="00D35B01">
      <w:pPr>
        <w:numPr>
          <w:ilvl w:val="0"/>
          <w:numId w:val="15"/>
        </w:numPr>
        <w:tabs>
          <w:tab w:val="left" w:pos="720"/>
        </w:tabs>
        <w:spacing w:before="100" w:after="100"/>
        <w:ind w:left="720" w:hanging="360"/>
        <w:rPr>
          <w:rFonts w:ascii="Times New Roman" w:eastAsia="Times New Roman" w:hAnsi="Times New Roman"/>
          <w:sz w:val="24"/>
        </w:rPr>
      </w:pPr>
      <w:r>
        <w:rPr>
          <w:rFonts w:ascii="Times New Roman" w:eastAsia="Times New Roman" w:hAnsi="Times New Roman"/>
          <w:sz w:val="24"/>
        </w:rPr>
        <w:t>have lodged an initial complaint and need to provide more information before the matter can be accepted as a formal complaint by the Commissioner.</w:t>
      </w:r>
    </w:p>
    <w:p w14:paraId="7F0689CA" w14:textId="77777777" w:rsidR="005874E7" w:rsidRDefault="005874E7" w:rsidP="005874E7">
      <w:pPr>
        <w:spacing w:before="100" w:after="100"/>
        <w:ind w:left="360"/>
        <w:rPr>
          <w:rFonts w:ascii="Times New Roman" w:eastAsia="Times New Roman" w:hAnsi="Times New Roman"/>
          <w:b/>
          <w:sz w:val="24"/>
        </w:rPr>
      </w:pPr>
      <w:r w:rsidRPr="005918E5">
        <w:rPr>
          <w:rFonts w:ascii="Times New Roman" w:eastAsia="Times New Roman" w:hAnsi="Times New Roman"/>
          <w:sz w:val="24"/>
        </w:rPr>
        <w:lastRenderedPageBreak/>
        <w:t>You may contact us by letter, email or telephone.</w:t>
      </w:r>
      <w:r>
        <w:rPr>
          <w:rFonts w:ascii="Times New Roman" w:eastAsia="Times New Roman" w:hAnsi="Times New Roman"/>
          <w:sz w:val="24"/>
        </w:rPr>
        <w:br/>
      </w:r>
    </w:p>
    <w:p w14:paraId="38E10E7B" w14:textId="77777777" w:rsidR="005874E7" w:rsidRPr="00D64EE1" w:rsidRDefault="005874E7" w:rsidP="005874E7">
      <w:pPr>
        <w:keepNext/>
        <w:keepLines/>
        <w:spacing w:before="200" w:after="0"/>
        <w:rPr>
          <w:rFonts w:ascii="Times New Roman" w:eastAsia="Times New Roman" w:hAnsi="Times New Roman"/>
          <w:i/>
          <w:sz w:val="24"/>
        </w:rPr>
      </w:pPr>
      <w:r>
        <w:rPr>
          <w:rFonts w:ascii="Times New Roman" w:eastAsia="Times New Roman" w:hAnsi="Times New Roman"/>
          <w:b/>
          <w:sz w:val="24"/>
        </w:rPr>
        <w:t>Complaint</w:t>
      </w:r>
      <w:r>
        <w:rPr>
          <w:rFonts w:ascii="Times New Roman" w:eastAsia="Times New Roman" w:hAnsi="Times New Roman"/>
          <w:b/>
          <w:sz w:val="24"/>
        </w:rPr>
        <w:br/>
      </w:r>
    </w:p>
    <w:p w14:paraId="2CF56784" w14:textId="77777777" w:rsidR="005874E7" w:rsidRPr="005918E5" w:rsidRDefault="005874E7" w:rsidP="00D35B01">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If you would like</w:t>
      </w:r>
      <w:r w:rsidRPr="005918E5">
        <w:rPr>
          <w:rFonts w:ascii="Times New Roman" w:eastAsia="Times New Roman" w:hAnsi="Times New Roman"/>
          <w:sz w:val="24"/>
        </w:rPr>
        <w:t xml:space="preserve"> to </w:t>
      </w:r>
      <w:r>
        <w:rPr>
          <w:rFonts w:ascii="Times New Roman" w:eastAsia="Times New Roman" w:hAnsi="Times New Roman"/>
          <w:sz w:val="24"/>
        </w:rPr>
        <w:t>lodge a</w:t>
      </w:r>
      <w:r w:rsidRPr="005918E5">
        <w:rPr>
          <w:rFonts w:ascii="Times New Roman" w:eastAsia="Times New Roman" w:hAnsi="Times New Roman"/>
          <w:sz w:val="24"/>
        </w:rPr>
        <w:t xml:space="preserve"> </w:t>
      </w:r>
      <w:r>
        <w:rPr>
          <w:rFonts w:ascii="Times New Roman" w:eastAsia="Times New Roman" w:hAnsi="Times New Roman"/>
          <w:sz w:val="24"/>
        </w:rPr>
        <w:t>complaint</w:t>
      </w:r>
      <w:r w:rsidRPr="005918E5">
        <w:rPr>
          <w:rFonts w:ascii="Times New Roman" w:eastAsia="Times New Roman" w:hAnsi="Times New Roman"/>
          <w:sz w:val="24"/>
        </w:rPr>
        <w:t xml:space="preserve"> with regard to a proposed or operating wind farm facility, we </w:t>
      </w:r>
      <w:r>
        <w:rPr>
          <w:rFonts w:ascii="Times New Roman" w:eastAsia="Times New Roman" w:hAnsi="Times New Roman"/>
          <w:sz w:val="24"/>
        </w:rPr>
        <w:t xml:space="preserve">require </w:t>
      </w:r>
      <w:r w:rsidRPr="005918E5">
        <w:rPr>
          <w:rFonts w:ascii="Times New Roman" w:eastAsia="Times New Roman" w:hAnsi="Times New Roman"/>
          <w:sz w:val="24"/>
        </w:rPr>
        <w:t>the following information from you in writing, via letter or email:</w:t>
      </w:r>
      <w:r>
        <w:rPr>
          <w:rFonts w:ascii="Times New Roman" w:eastAsia="Times New Roman" w:hAnsi="Times New Roman"/>
          <w:sz w:val="24"/>
        </w:rPr>
        <w:br/>
      </w:r>
    </w:p>
    <w:p w14:paraId="5D90FCD5" w14:textId="77777777" w:rsidR="005874E7" w:rsidRDefault="005874E7" w:rsidP="00D35B01">
      <w:pPr>
        <w:pStyle w:val="ListParagraph"/>
        <w:numPr>
          <w:ilvl w:val="0"/>
          <w:numId w:val="20"/>
        </w:numPr>
        <w:spacing w:before="100" w:after="100"/>
        <w:contextualSpacing/>
        <w:rPr>
          <w:rFonts w:ascii="Times New Roman" w:eastAsia="Times New Roman" w:hAnsi="Times New Roman"/>
          <w:sz w:val="24"/>
        </w:rPr>
      </w:pPr>
      <w:r>
        <w:rPr>
          <w:rFonts w:ascii="Times New Roman" w:eastAsia="Times New Roman" w:hAnsi="Times New Roman"/>
          <w:sz w:val="24"/>
        </w:rPr>
        <w:t>your name</w:t>
      </w:r>
    </w:p>
    <w:p w14:paraId="1E4054F7" w14:textId="77777777" w:rsidR="005874E7" w:rsidRDefault="005874E7" w:rsidP="00D35B01">
      <w:pPr>
        <w:pStyle w:val="ListParagraph"/>
        <w:numPr>
          <w:ilvl w:val="0"/>
          <w:numId w:val="20"/>
        </w:numPr>
        <w:spacing w:before="100" w:after="100"/>
        <w:contextualSpacing/>
        <w:rPr>
          <w:rFonts w:ascii="Times New Roman" w:eastAsia="Times New Roman" w:hAnsi="Times New Roman"/>
          <w:sz w:val="24"/>
        </w:rPr>
      </w:pPr>
      <w:r>
        <w:rPr>
          <w:rFonts w:ascii="Times New Roman" w:eastAsia="Times New Roman" w:hAnsi="Times New Roman"/>
          <w:sz w:val="24"/>
        </w:rPr>
        <w:t>your address</w:t>
      </w:r>
    </w:p>
    <w:p w14:paraId="25085C8D" w14:textId="77777777" w:rsidR="005874E7" w:rsidRDefault="005874E7" w:rsidP="00D35B01">
      <w:pPr>
        <w:pStyle w:val="ListParagraph"/>
        <w:numPr>
          <w:ilvl w:val="0"/>
          <w:numId w:val="20"/>
        </w:numPr>
        <w:spacing w:before="100" w:after="100"/>
        <w:contextualSpacing/>
        <w:rPr>
          <w:rFonts w:ascii="Times New Roman" w:eastAsia="Times New Roman" w:hAnsi="Times New Roman"/>
          <w:sz w:val="24"/>
        </w:rPr>
      </w:pPr>
      <w:r>
        <w:rPr>
          <w:rFonts w:ascii="Times New Roman" w:eastAsia="Times New Roman" w:hAnsi="Times New Roman"/>
          <w:sz w:val="24"/>
        </w:rPr>
        <w:t>your contact details, including telephone and email</w:t>
      </w:r>
    </w:p>
    <w:p w14:paraId="4CD35860" w14:textId="77777777" w:rsidR="005874E7" w:rsidRDefault="005874E7" w:rsidP="00D35B01">
      <w:pPr>
        <w:pStyle w:val="ListParagraph"/>
        <w:numPr>
          <w:ilvl w:val="0"/>
          <w:numId w:val="20"/>
        </w:numPr>
        <w:spacing w:before="100" w:after="100"/>
        <w:contextualSpacing/>
        <w:rPr>
          <w:rFonts w:ascii="Times New Roman" w:eastAsia="Times New Roman" w:hAnsi="Times New Roman"/>
          <w:sz w:val="24"/>
        </w:rPr>
      </w:pPr>
      <w:r>
        <w:rPr>
          <w:rFonts w:ascii="Times New Roman" w:eastAsia="Times New Roman" w:hAnsi="Times New Roman"/>
          <w:sz w:val="24"/>
        </w:rPr>
        <w:t>the name of the proposed or operating wind farm facility</w:t>
      </w:r>
    </w:p>
    <w:p w14:paraId="62F23BD5" w14:textId="77777777" w:rsidR="005874E7" w:rsidRDefault="005874E7" w:rsidP="00D35B01">
      <w:pPr>
        <w:pStyle w:val="ListParagraph"/>
        <w:numPr>
          <w:ilvl w:val="0"/>
          <w:numId w:val="20"/>
        </w:numPr>
        <w:spacing w:before="100" w:after="100"/>
        <w:contextualSpacing/>
        <w:rPr>
          <w:rFonts w:ascii="Times New Roman" w:eastAsia="Times New Roman" w:hAnsi="Times New Roman"/>
          <w:sz w:val="24"/>
        </w:rPr>
      </w:pPr>
      <w:r>
        <w:rPr>
          <w:rFonts w:ascii="Times New Roman" w:eastAsia="Times New Roman" w:hAnsi="Times New Roman"/>
          <w:sz w:val="24"/>
        </w:rPr>
        <w:t>the approximate distance of the nearest turbine to your dwelling</w:t>
      </w:r>
    </w:p>
    <w:p w14:paraId="01EE35DF" w14:textId="77777777" w:rsidR="005874E7" w:rsidRDefault="005874E7" w:rsidP="00D35B01">
      <w:pPr>
        <w:pStyle w:val="ListParagraph"/>
        <w:numPr>
          <w:ilvl w:val="0"/>
          <w:numId w:val="20"/>
        </w:numPr>
        <w:spacing w:before="100" w:after="100"/>
        <w:contextualSpacing/>
        <w:rPr>
          <w:rFonts w:ascii="Times New Roman" w:eastAsia="Times New Roman" w:hAnsi="Times New Roman"/>
          <w:sz w:val="24"/>
        </w:rPr>
      </w:pPr>
      <w:r>
        <w:rPr>
          <w:rFonts w:ascii="Times New Roman" w:eastAsia="Times New Roman" w:hAnsi="Times New Roman"/>
          <w:sz w:val="24"/>
        </w:rPr>
        <w:t>the complaint you wish to make about the wind farm facility</w:t>
      </w:r>
    </w:p>
    <w:p w14:paraId="2A95572C" w14:textId="77777777" w:rsidR="005874E7" w:rsidRDefault="005874E7" w:rsidP="00D35B01">
      <w:pPr>
        <w:pStyle w:val="ListParagraph"/>
        <w:numPr>
          <w:ilvl w:val="0"/>
          <w:numId w:val="20"/>
        </w:numPr>
        <w:spacing w:before="100" w:after="100"/>
        <w:contextualSpacing/>
        <w:rPr>
          <w:rFonts w:ascii="Times New Roman" w:eastAsia="Times New Roman" w:hAnsi="Times New Roman"/>
          <w:sz w:val="24"/>
        </w:rPr>
      </w:pPr>
      <w:r>
        <w:rPr>
          <w:rFonts w:ascii="Times New Roman" w:eastAsia="Times New Roman" w:hAnsi="Times New Roman"/>
          <w:sz w:val="24"/>
        </w:rPr>
        <w:t>the basis of the complaint</w:t>
      </w:r>
    </w:p>
    <w:p w14:paraId="3E3DFE71" w14:textId="77777777" w:rsidR="005874E7" w:rsidRDefault="005874E7" w:rsidP="00D35B01">
      <w:pPr>
        <w:pStyle w:val="ListParagraph"/>
        <w:numPr>
          <w:ilvl w:val="0"/>
          <w:numId w:val="20"/>
        </w:numPr>
        <w:spacing w:before="100" w:after="100"/>
        <w:contextualSpacing/>
        <w:rPr>
          <w:rFonts w:ascii="Times New Roman" w:eastAsia="Times New Roman" w:hAnsi="Times New Roman"/>
          <w:sz w:val="24"/>
        </w:rPr>
      </w:pPr>
      <w:r>
        <w:rPr>
          <w:rFonts w:ascii="Times New Roman" w:eastAsia="Times New Roman" w:hAnsi="Times New Roman"/>
          <w:sz w:val="24"/>
        </w:rPr>
        <w:t>when you first made the complaint about the wind farm to the other party</w:t>
      </w:r>
    </w:p>
    <w:p w14:paraId="6B56FC28" w14:textId="77777777" w:rsidR="005874E7" w:rsidRDefault="005874E7" w:rsidP="00D35B01">
      <w:pPr>
        <w:pStyle w:val="ListParagraph"/>
        <w:numPr>
          <w:ilvl w:val="0"/>
          <w:numId w:val="20"/>
        </w:numPr>
        <w:spacing w:before="100" w:after="100"/>
        <w:contextualSpacing/>
        <w:rPr>
          <w:rFonts w:ascii="Times New Roman" w:eastAsia="Times New Roman" w:hAnsi="Times New Roman"/>
          <w:sz w:val="24"/>
        </w:rPr>
      </w:pPr>
      <w:r>
        <w:rPr>
          <w:rFonts w:ascii="Times New Roman" w:eastAsia="Times New Roman" w:hAnsi="Times New Roman"/>
          <w:sz w:val="24"/>
        </w:rPr>
        <w:t>evidence in support of the complaint, including relevant dates</w:t>
      </w:r>
    </w:p>
    <w:p w14:paraId="031472D6" w14:textId="77777777" w:rsidR="005874E7" w:rsidRDefault="005874E7" w:rsidP="00D35B01">
      <w:pPr>
        <w:pStyle w:val="ListParagraph"/>
        <w:numPr>
          <w:ilvl w:val="0"/>
          <w:numId w:val="20"/>
        </w:numPr>
        <w:spacing w:before="100" w:after="100"/>
        <w:contextualSpacing/>
        <w:rPr>
          <w:rFonts w:ascii="Times New Roman" w:eastAsia="Times New Roman" w:hAnsi="Times New Roman"/>
          <w:sz w:val="24"/>
        </w:rPr>
      </w:pPr>
      <w:r>
        <w:rPr>
          <w:rFonts w:ascii="Times New Roman" w:eastAsia="Times New Roman" w:hAnsi="Times New Roman"/>
          <w:sz w:val="24"/>
        </w:rPr>
        <w:t>a summary of any current or previous attempts to resolve the complaint, including relevant correspondence from you and other parties to the complaint</w:t>
      </w:r>
    </w:p>
    <w:p w14:paraId="42862939" w14:textId="77777777" w:rsidR="005874E7" w:rsidRDefault="005874E7" w:rsidP="00D35B01">
      <w:pPr>
        <w:pStyle w:val="ListParagraph"/>
        <w:numPr>
          <w:ilvl w:val="0"/>
          <w:numId w:val="20"/>
        </w:numPr>
        <w:spacing w:before="100" w:after="100"/>
        <w:contextualSpacing/>
        <w:rPr>
          <w:rFonts w:ascii="Times New Roman" w:eastAsia="Times New Roman" w:hAnsi="Times New Roman"/>
          <w:sz w:val="24"/>
        </w:rPr>
      </w:pPr>
      <w:r>
        <w:rPr>
          <w:rFonts w:ascii="Times New Roman" w:eastAsia="Times New Roman" w:hAnsi="Times New Roman"/>
          <w:sz w:val="24"/>
        </w:rPr>
        <w:t>the practical outcomes you are seeking in a resolution to the complaint</w:t>
      </w:r>
    </w:p>
    <w:p w14:paraId="2FE8535E" w14:textId="77777777" w:rsidR="005874E7" w:rsidRDefault="005874E7" w:rsidP="00D35B01">
      <w:pPr>
        <w:pStyle w:val="ListParagraph"/>
        <w:numPr>
          <w:ilvl w:val="0"/>
          <w:numId w:val="20"/>
        </w:numPr>
        <w:spacing w:before="100" w:after="100"/>
        <w:contextualSpacing/>
        <w:rPr>
          <w:rFonts w:ascii="Times New Roman" w:eastAsia="Times New Roman" w:hAnsi="Times New Roman"/>
          <w:sz w:val="24"/>
        </w:rPr>
      </w:pPr>
      <w:r>
        <w:rPr>
          <w:rFonts w:ascii="Times New Roman" w:eastAsia="Times New Roman" w:hAnsi="Times New Roman"/>
          <w:sz w:val="24"/>
        </w:rPr>
        <w:t>your written permission for the Commissioner to discuss the complaint and provide your details to the other party or parties to the complaint; and</w:t>
      </w:r>
    </w:p>
    <w:p w14:paraId="7ED2F797" w14:textId="77777777" w:rsidR="005874E7" w:rsidRDefault="005874E7" w:rsidP="00D35B01">
      <w:pPr>
        <w:pStyle w:val="ListParagraph"/>
        <w:numPr>
          <w:ilvl w:val="0"/>
          <w:numId w:val="20"/>
        </w:numPr>
        <w:spacing w:before="100" w:after="100"/>
        <w:contextualSpacing/>
        <w:rPr>
          <w:rFonts w:ascii="Times New Roman" w:eastAsia="Times New Roman" w:hAnsi="Times New Roman"/>
          <w:sz w:val="24"/>
        </w:rPr>
      </w:pPr>
      <w:r>
        <w:rPr>
          <w:rFonts w:ascii="Times New Roman" w:eastAsia="Times New Roman" w:hAnsi="Times New Roman"/>
          <w:sz w:val="24"/>
        </w:rPr>
        <w:t>other information we may deem necessary to assist us in attempting to understand the complaint and approaches for its resolution.</w:t>
      </w:r>
    </w:p>
    <w:p w14:paraId="7E714FC4" w14:textId="77777777" w:rsidR="005874E7" w:rsidRDefault="005874E7" w:rsidP="005874E7">
      <w:pPr>
        <w:spacing w:before="100" w:after="100"/>
        <w:ind w:left="360"/>
        <w:rPr>
          <w:rFonts w:ascii="Times New Roman" w:eastAsia="Times New Roman" w:hAnsi="Times New Roman"/>
          <w:sz w:val="24"/>
        </w:rPr>
      </w:pPr>
      <w:r>
        <w:rPr>
          <w:rFonts w:ascii="Times New Roman" w:eastAsia="Times New Roman" w:hAnsi="Times New Roman"/>
          <w:sz w:val="24"/>
        </w:rPr>
        <w:t>You may contact the Office for assistance and questions that you may have in preparing the materials to lodge a complaint.</w:t>
      </w:r>
      <w:r>
        <w:rPr>
          <w:rFonts w:ascii="Times New Roman" w:eastAsia="Times New Roman" w:hAnsi="Times New Roman"/>
          <w:sz w:val="24"/>
        </w:rPr>
        <w:br/>
      </w:r>
    </w:p>
    <w:p w14:paraId="5C0E1267" w14:textId="77777777" w:rsidR="005874E7" w:rsidRPr="00D64EE1" w:rsidRDefault="005874E7" w:rsidP="005874E7">
      <w:pPr>
        <w:spacing w:before="100" w:after="100"/>
        <w:rPr>
          <w:rFonts w:ascii="Times New Roman" w:eastAsia="Times New Roman" w:hAnsi="Times New Roman"/>
          <w:i/>
          <w:sz w:val="24"/>
        </w:rPr>
      </w:pPr>
      <w:r>
        <w:rPr>
          <w:rFonts w:ascii="Times New Roman" w:eastAsia="Times New Roman" w:hAnsi="Times New Roman"/>
          <w:i/>
          <w:sz w:val="24"/>
        </w:rPr>
        <w:t xml:space="preserve">Accepting </w:t>
      </w:r>
      <w:r w:rsidRPr="00D64EE1">
        <w:rPr>
          <w:rFonts w:ascii="Times New Roman" w:eastAsia="Times New Roman" w:hAnsi="Times New Roman"/>
          <w:i/>
          <w:sz w:val="24"/>
        </w:rPr>
        <w:t xml:space="preserve">your </w:t>
      </w:r>
      <w:r>
        <w:rPr>
          <w:rFonts w:ascii="Times New Roman" w:eastAsia="Times New Roman" w:hAnsi="Times New Roman"/>
          <w:i/>
          <w:sz w:val="24"/>
        </w:rPr>
        <w:t>complaint</w:t>
      </w:r>
    </w:p>
    <w:p w14:paraId="22E4F188" w14:textId="77777777" w:rsidR="005874E7" w:rsidRDefault="005874E7" w:rsidP="00D35B01">
      <w:pPr>
        <w:pStyle w:val="ListParagraph"/>
        <w:numPr>
          <w:ilvl w:val="0"/>
          <w:numId w:val="21"/>
        </w:numPr>
        <w:spacing w:before="100" w:after="100"/>
        <w:contextualSpacing/>
        <w:rPr>
          <w:rFonts w:ascii="Times New Roman" w:eastAsia="Times New Roman" w:hAnsi="Times New Roman"/>
          <w:sz w:val="24"/>
        </w:rPr>
      </w:pPr>
      <w:r w:rsidRPr="005918E5">
        <w:rPr>
          <w:rFonts w:ascii="Times New Roman" w:eastAsia="Times New Roman" w:hAnsi="Times New Roman"/>
          <w:sz w:val="24"/>
        </w:rPr>
        <w:t xml:space="preserve">When we have received all of the requested information from you to file a </w:t>
      </w:r>
      <w:r>
        <w:rPr>
          <w:rFonts w:ascii="Times New Roman" w:eastAsia="Times New Roman" w:hAnsi="Times New Roman"/>
          <w:sz w:val="24"/>
        </w:rPr>
        <w:t>complaint</w:t>
      </w:r>
      <w:r w:rsidRPr="005918E5">
        <w:rPr>
          <w:rFonts w:ascii="Times New Roman" w:eastAsia="Times New Roman" w:hAnsi="Times New Roman"/>
          <w:sz w:val="24"/>
        </w:rPr>
        <w:t xml:space="preserve">, we will </w:t>
      </w:r>
      <w:r>
        <w:rPr>
          <w:rFonts w:ascii="Times New Roman" w:eastAsia="Times New Roman" w:hAnsi="Times New Roman"/>
          <w:sz w:val="24"/>
        </w:rPr>
        <w:t xml:space="preserve"> accept your complaint, </w:t>
      </w:r>
      <w:r w:rsidRPr="005918E5">
        <w:rPr>
          <w:rFonts w:ascii="Times New Roman" w:eastAsia="Times New Roman" w:hAnsi="Times New Roman"/>
          <w:sz w:val="24"/>
        </w:rPr>
        <w:t xml:space="preserve">confirm with you that your </w:t>
      </w:r>
      <w:r>
        <w:rPr>
          <w:rFonts w:ascii="Times New Roman" w:eastAsia="Times New Roman" w:hAnsi="Times New Roman"/>
          <w:sz w:val="24"/>
        </w:rPr>
        <w:t>complaint</w:t>
      </w:r>
      <w:r w:rsidRPr="005918E5">
        <w:rPr>
          <w:rFonts w:ascii="Times New Roman" w:eastAsia="Times New Roman" w:hAnsi="Times New Roman"/>
          <w:sz w:val="24"/>
        </w:rPr>
        <w:t xml:space="preserve"> has been </w:t>
      </w:r>
      <w:r>
        <w:rPr>
          <w:rFonts w:ascii="Times New Roman" w:eastAsia="Times New Roman" w:hAnsi="Times New Roman"/>
          <w:sz w:val="24"/>
        </w:rPr>
        <w:t xml:space="preserve">accepted </w:t>
      </w:r>
      <w:r w:rsidRPr="005918E5">
        <w:rPr>
          <w:rFonts w:ascii="Times New Roman" w:eastAsia="Times New Roman" w:hAnsi="Times New Roman"/>
          <w:sz w:val="24"/>
        </w:rPr>
        <w:t xml:space="preserve">and </w:t>
      </w:r>
      <w:r>
        <w:rPr>
          <w:rFonts w:ascii="Times New Roman" w:eastAsia="Times New Roman" w:hAnsi="Times New Roman"/>
          <w:sz w:val="24"/>
        </w:rPr>
        <w:t xml:space="preserve">ensure that you have been </w:t>
      </w:r>
      <w:r w:rsidRPr="005918E5">
        <w:rPr>
          <w:rFonts w:ascii="Times New Roman" w:eastAsia="Times New Roman" w:hAnsi="Times New Roman"/>
          <w:sz w:val="24"/>
        </w:rPr>
        <w:t>provide</w:t>
      </w:r>
      <w:r>
        <w:rPr>
          <w:rFonts w:ascii="Times New Roman" w:eastAsia="Times New Roman" w:hAnsi="Times New Roman"/>
          <w:sz w:val="24"/>
        </w:rPr>
        <w:t>d</w:t>
      </w:r>
      <w:r w:rsidRPr="005918E5">
        <w:rPr>
          <w:rFonts w:ascii="Times New Roman" w:eastAsia="Times New Roman" w:hAnsi="Times New Roman"/>
          <w:sz w:val="24"/>
        </w:rPr>
        <w:t xml:space="preserve"> with a </w:t>
      </w:r>
      <w:r>
        <w:rPr>
          <w:rFonts w:ascii="Times New Roman" w:eastAsia="Times New Roman" w:hAnsi="Times New Roman"/>
          <w:sz w:val="24"/>
        </w:rPr>
        <w:t>complaint</w:t>
      </w:r>
      <w:r w:rsidRPr="005918E5">
        <w:rPr>
          <w:rFonts w:ascii="Times New Roman" w:eastAsia="Times New Roman" w:hAnsi="Times New Roman"/>
          <w:sz w:val="24"/>
        </w:rPr>
        <w:t xml:space="preserve"> reference number.</w:t>
      </w:r>
      <w:r>
        <w:rPr>
          <w:rFonts w:ascii="Times New Roman" w:eastAsia="Times New Roman" w:hAnsi="Times New Roman"/>
          <w:sz w:val="24"/>
        </w:rPr>
        <w:br/>
      </w:r>
    </w:p>
    <w:p w14:paraId="4412A867" w14:textId="77777777" w:rsidR="005874E7" w:rsidRPr="00D64EE1" w:rsidRDefault="005874E7" w:rsidP="00D35B01">
      <w:pPr>
        <w:pStyle w:val="ListParagraph"/>
        <w:numPr>
          <w:ilvl w:val="0"/>
          <w:numId w:val="21"/>
        </w:numPr>
        <w:spacing w:before="100" w:after="100"/>
        <w:contextualSpacing/>
        <w:rPr>
          <w:rFonts w:ascii="Times New Roman" w:eastAsia="Times New Roman" w:hAnsi="Times New Roman"/>
          <w:sz w:val="24"/>
        </w:rPr>
      </w:pPr>
      <w:r w:rsidRPr="00D64EE1">
        <w:rPr>
          <w:rFonts w:ascii="Times New Roman" w:eastAsia="Times New Roman" w:hAnsi="Times New Roman"/>
          <w:sz w:val="24"/>
        </w:rPr>
        <w:t xml:space="preserve">The Commissioner will review the materials provided and may contact you to discuss the matter. </w:t>
      </w:r>
      <w:r>
        <w:rPr>
          <w:rFonts w:ascii="Times New Roman" w:eastAsia="Times New Roman" w:hAnsi="Times New Roman"/>
          <w:sz w:val="24"/>
        </w:rPr>
        <w:t xml:space="preserve"> </w:t>
      </w:r>
      <w:r w:rsidRPr="00D64EE1">
        <w:rPr>
          <w:rFonts w:ascii="Times New Roman" w:eastAsia="Times New Roman" w:hAnsi="Times New Roman"/>
          <w:sz w:val="24"/>
        </w:rPr>
        <w:t xml:space="preserve">The Commissioner may also contact other parties </w:t>
      </w:r>
      <w:r>
        <w:rPr>
          <w:rFonts w:ascii="Times New Roman" w:eastAsia="Times New Roman" w:hAnsi="Times New Roman"/>
          <w:sz w:val="24"/>
        </w:rPr>
        <w:t xml:space="preserve">that are relevant </w:t>
      </w:r>
      <w:r w:rsidRPr="00D64EE1">
        <w:rPr>
          <w:rFonts w:ascii="Times New Roman" w:eastAsia="Times New Roman" w:hAnsi="Times New Roman"/>
          <w:sz w:val="24"/>
        </w:rPr>
        <w:t xml:space="preserve">to the </w:t>
      </w:r>
      <w:r>
        <w:rPr>
          <w:rFonts w:ascii="Times New Roman" w:eastAsia="Times New Roman" w:hAnsi="Times New Roman"/>
          <w:sz w:val="24"/>
        </w:rPr>
        <w:t>complaint</w:t>
      </w:r>
      <w:r w:rsidRPr="00D64EE1">
        <w:rPr>
          <w:rFonts w:ascii="Times New Roman" w:eastAsia="Times New Roman" w:hAnsi="Times New Roman"/>
          <w:sz w:val="24"/>
        </w:rPr>
        <w:t xml:space="preserve"> and assess their willingness to work to </w:t>
      </w:r>
      <w:r>
        <w:rPr>
          <w:rFonts w:ascii="Times New Roman" w:eastAsia="Times New Roman" w:hAnsi="Times New Roman"/>
          <w:sz w:val="24"/>
        </w:rPr>
        <w:t xml:space="preserve">work with us to </w:t>
      </w:r>
      <w:r w:rsidRPr="00D64EE1">
        <w:rPr>
          <w:rFonts w:ascii="Times New Roman" w:eastAsia="Times New Roman" w:hAnsi="Times New Roman"/>
          <w:sz w:val="24"/>
        </w:rPr>
        <w:t xml:space="preserve">resolve the </w:t>
      </w:r>
      <w:r>
        <w:rPr>
          <w:rFonts w:ascii="Times New Roman" w:eastAsia="Times New Roman" w:hAnsi="Times New Roman"/>
          <w:sz w:val="24"/>
        </w:rPr>
        <w:t>complaint</w:t>
      </w:r>
      <w:r w:rsidRPr="00D64EE1">
        <w:rPr>
          <w:rFonts w:ascii="Times New Roman" w:eastAsia="Times New Roman" w:hAnsi="Times New Roman"/>
          <w:sz w:val="24"/>
        </w:rPr>
        <w:t>.</w:t>
      </w:r>
      <w:r>
        <w:rPr>
          <w:rFonts w:ascii="Times New Roman" w:eastAsia="Times New Roman" w:hAnsi="Times New Roman"/>
          <w:sz w:val="24"/>
        </w:rPr>
        <w:br/>
      </w:r>
    </w:p>
    <w:p w14:paraId="1AD34186" w14:textId="77777777" w:rsidR="005874E7" w:rsidRPr="000227B9" w:rsidRDefault="005874E7" w:rsidP="00D35B01">
      <w:pPr>
        <w:pStyle w:val="ListParagraph"/>
        <w:numPr>
          <w:ilvl w:val="0"/>
          <w:numId w:val="21"/>
        </w:numPr>
        <w:spacing w:before="100" w:after="100"/>
        <w:contextualSpacing/>
        <w:rPr>
          <w:rFonts w:ascii="Times New Roman" w:eastAsia="Times New Roman" w:hAnsi="Times New Roman"/>
          <w:sz w:val="24"/>
        </w:rPr>
      </w:pPr>
      <w:r w:rsidRPr="00D64EE1">
        <w:rPr>
          <w:rFonts w:ascii="Times New Roman" w:eastAsia="Times New Roman" w:hAnsi="Times New Roman"/>
          <w:sz w:val="24"/>
        </w:rPr>
        <w:t>Based on the review of the information and subsequent discussio</w:t>
      </w:r>
      <w:r>
        <w:rPr>
          <w:rFonts w:ascii="Times New Roman" w:eastAsia="Times New Roman" w:hAnsi="Times New Roman"/>
          <w:sz w:val="24"/>
        </w:rPr>
        <w:t>ns, the Commissioner will determine</w:t>
      </w:r>
      <w:r w:rsidRPr="00D64EE1">
        <w:rPr>
          <w:rFonts w:ascii="Times New Roman" w:eastAsia="Times New Roman" w:hAnsi="Times New Roman"/>
          <w:sz w:val="24"/>
        </w:rPr>
        <w:t xml:space="preserve"> the next steps in the </w:t>
      </w:r>
      <w:r>
        <w:rPr>
          <w:rFonts w:ascii="Times New Roman" w:eastAsia="Times New Roman" w:hAnsi="Times New Roman"/>
          <w:sz w:val="24"/>
        </w:rPr>
        <w:t>complaint</w:t>
      </w:r>
      <w:r w:rsidRPr="00D64EE1">
        <w:rPr>
          <w:rFonts w:ascii="Times New Roman" w:eastAsia="Times New Roman" w:hAnsi="Times New Roman"/>
          <w:sz w:val="24"/>
        </w:rPr>
        <w:t xml:space="preserve"> handling process.</w:t>
      </w:r>
    </w:p>
    <w:p w14:paraId="35857DCF" w14:textId="77777777" w:rsidR="005874E7" w:rsidRPr="00A87EA1" w:rsidRDefault="005874E7" w:rsidP="005874E7">
      <w:pPr>
        <w:spacing w:before="100" w:after="100"/>
        <w:rPr>
          <w:rFonts w:ascii="Times New Roman" w:eastAsia="Times New Roman" w:hAnsi="Times New Roman"/>
          <w:i/>
          <w:sz w:val="24"/>
        </w:rPr>
      </w:pPr>
      <w:r>
        <w:rPr>
          <w:rFonts w:ascii="Times New Roman" w:eastAsia="Times New Roman" w:hAnsi="Times New Roman"/>
          <w:i/>
          <w:sz w:val="24"/>
        </w:rPr>
        <w:br/>
      </w:r>
      <w:r w:rsidRPr="00A87EA1">
        <w:rPr>
          <w:rFonts w:ascii="Times New Roman" w:eastAsia="Times New Roman" w:hAnsi="Times New Roman"/>
          <w:i/>
          <w:sz w:val="24"/>
        </w:rPr>
        <w:t>Information handling</w:t>
      </w:r>
    </w:p>
    <w:p w14:paraId="5D3836A7" w14:textId="77777777" w:rsidR="005874E7" w:rsidRPr="003F1428" w:rsidRDefault="005874E7" w:rsidP="00D35B01">
      <w:pPr>
        <w:pStyle w:val="ListParagraph"/>
        <w:numPr>
          <w:ilvl w:val="0"/>
          <w:numId w:val="21"/>
        </w:numPr>
        <w:spacing w:before="100" w:after="100"/>
        <w:contextualSpacing/>
        <w:rPr>
          <w:rFonts w:ascii="Times New Roman" w:eastAsia="Times New Roman" w:hAnsi="Times New Roman"/>
          <w:sz w:val="24"/>
        </w:rPr>
      </w:pPr>
      <w:r w:rsidRPr="0087598B">
        <w:rPr>
          <w:rFonts w:ascii="Times New Roman" w:eastAsia="Times New Roman" w:hAnsi="Times New Roman"/>
          <w:sz w:val="24"/>
        </w:rPr>
        <w:t xml:space="preserve">All information received by the Office for the purposes of handling these complaints will managed by the Commissioner and staff in accordance with </w:t>
      </w:r>
      <w:r w:rsidRPr="0087598B">
        <w:rPr>
          <w:rFonts w:ascii="Times New Roman" w:eastAsia="Times New Roman" w:hAnsi="Times New Roman"/>
          <w:i/>
          <w:sz w:val="24"/>
        </w:rPr>
        <w:t>The National Wind Farm Commissioner Information Handling Policy</w:t>
      </w:r>
      <w:r>
        <w:rPr>
          <w:rFonts w:ascii="Times New Roman" w:eastAsia="Times New Roman" w:hAnsi="Times New Roman"/>
          <w:i/>
          <w:sz w:val="24"/>
        </w:rPr>
        <w:t>,</w:t>
      </w:r>
      <w:r w:rsidRPr="0087598B">
        <w:rPr>
          <w:rFonts w:ascii="Times New Roman" w:eastAsia="Times New Roman" w:hAnsi="Times New Roman"/>
          <w:sz w:val="24"/>
        </w:rPr>
        <w:t xml:space="preserve"> </w:t>
      </w:r>
      <w:r>
        <w:rPr>
          <w:rFonts w:ascii="Times New Roman" w:eastAsia="Times New Roman" w:hAnsi="Times New Roman"/>
          <w:sz w:val="24"/>
        </w:rPr>
        <w:t xml:space="preserve">available at </w:t>
      </w:r>
      <w:hyperlink r:id="rId61" w:history="1">
        <w:r w:rsidRPr="00A9210F">
          <w:rPr>
            <w:rStyle w:val="Hyperlink"/>
          </w:rPr>
          <w:t>www.nwfc.gov.au</w:t>
        </w:r>
      </w:hyperlink>
      <w:r>
        <w:t>.</w:t>
      </w:r>
      <w:r>
        <w:br/>
      </w:r>
    </w:p>
    <w:p w14:paraId="5095974F" w14:textId="77777777" w:rsidR="005874E7" w:rsidRPr="00C91D55" w:rsidRDefault="005874E7" w:rsidP="005874E7">
      <w:pPr>
        <w:spacing w:before="100" w:after="100"/>
        <w:rPr>
          <w:rFonts w:ascii="Times New Roman" w:eastAsia="Times New Roman" w:hAnsi="Times New Roman"/>
          <w:b/>
          <w:sz w:val="24"/>
        </w:rPr>
      </w:pPr>
      <w:r>
        <w:rPr>
          <w:rFonts w:ascii="Times New Roman" w:eastAsia="Times New Roman" w:hAnsi="Times New Roman"/>
          <w:b/>
          <w:sz w:val="24"/>
        </w:rPr>
        <w:lastRenderedPageBreak/>
        <w:t>Referral</w:t>
      </w:r>
      <w:r>
        <w:rPr>
          <w:rFonts w:ascii="Times New Roman" w:eastAsia="Times New Roman" w:hAnsi="Times New Roman"/>
          <w:b/>
          <w:sz w:val="24"/>
        </w:rPr>
        <w:br/>
      </w:r>
    </w:p>
    <w:p w14:paraId="15DA8818" w14:textId="77777777" w:rsidR="005874E7" w:rsidRPr="003A6F4C" w:rsidRDefault="005874E7" w:rsidP="00D35B01">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 xml:space="preserve">In many cases, </w:t>
      </w:r>
      <w:r w:rsidRPr="004D60F3">
        <w:rPr>
          <w:rFonts w:ascii="Times New Roman" w:eastAsia="Times New Roman" w:hAnsi="Times New Roman"/>
          <w:sz w:val="24"/>
        </w:rPr>
        <w:t xml:space="preserve">the </w:t>
      </w:r>
      <w:r>
        <w:rPr>
          <w:rFonts w:ascii="Times New Roman" w:eastAsia="Times New Roman" w:hAnsi="Times New Roman"/>
          <w:sz w:val="24"/>
        </w:rPr>
        <w:t>complaint</w:t>
      </w:r>
      <w:r w:rsidRPr="004D60F3">
        <w:rPr>
          <w:rFonts w:ascii="Times New Roman" w:eastAsia="Times New Roman" w:hAnsi="Times New Roman"/>
          <w:sz w:val="24"/>
        </w:rPr>
        <w:t xml:space="preserve"> </w:t>
      </w:r>
      <w:r>
        <w:rPr>
          <w:rFonts w:ascii="Times New Roman" w:eastAsia="Times New Roman" w:hAnsi="Times New Roman"/>
          <w:sz w:val="24"/>
        </w:rPr>
        <w:t>may</w:t>
      </w:r>
      <w:r w:rsidRPr="004D60F3">
        <w:rPr>
          <w:rFonts w:ascii="Times New Roman" w:eastAsia="Times New Roman" w:hAnsi="Times New Roman"/>
          <w:sz w:val="24"/>
        </w:rPr>
        <w:t xml:space="preserve"> </w:t>
      </w:r>
      <w:r>
        <w:rPr>
          <w:rFonts w:ascii="Times New Roman" w:eastAsia="Times New Roman" w:hAnsi="Times New Roman"/>
          <w:sz w:val="24"/>
        </w:rPr>
        <w:t xml:space="preserve">be </w:t>
      </w:r>
      <w:r w:rsidRPr="004D60F3">
        <w:rPr>
          <w:rFonts w:ascii="Times New Roman" w:eastAsia="Times New Roman" w:hAnsi="Times New Roman"/>
          <w:sz w:val="24"/>
        </w:rPr>
        <w:t>best handle</w:t>
      </w:r>
      <w:r>
        <w:rPr>
          <w:rFonts w:ascii="Times New Roman" w:eastAsia="Times New Roman" w:hAnsi="Times New Roman"/>
          <w:sz w:val="24"/>
        </w:rPr>
        <w:t>d by a direct referral to the other party, such as the wind farm developer, wind farm operator, a</w:t>
      </w:r>
      <w:r w:rsidRPr="004D60F3">
        <w:rPr>
          <w:rFonts w:ascii="Times New Roman" w:eastAsia="Times New Roman" w:hAnsi="Times New Roman"/>
          <w:sz w:val="24"/>
        </w:rPr>
        <w:t xml:space="preserve"> State or Local Government </w:t>
      </w:r>
      <w:r>
        <w:rPr>
          <w:rFonts w:ascii="Times New Roman" w:eastAsia="Times New Roman" w:hAnsi="Times New Roman"/>
          <w:sz w:val="24"/>
        </w:rPr>
        <w:t xml:space="preserve">department or agency. </w:t>
      </w:r>
      <w:r w:rsidRPr="004D60F3">
        <w:rPr>
          <w:rFonts w:ascii="Times New Roman" w:eastAsia="Times New Roman" w:hAnsi="Times New Roman"/>
          <w:sz w:val="24"/>
        </w:rPr>
        <w:t>The Commissioner will assist in facilitating the referral</w:t>
      </w:r>
      <w:r>
        <w:rPr>
          <w:rFonts w:ascii="Times New Roman" w:eastAsia="Times New Roman" w:hAnsi="Times New Roman"/>
          <w:sz w:val="24"/>
        </w:rPr>
        <w:t>, where possible.</w:t>
      </w:r>
      <w:r>
        <w:rPr>
          <w:rFonts w:ascii="Times New Roman" w:eastAsia="Times New Roman" w:hAnsi="Times New Roman"/>
          <w:sz w:val="24"/>
        </w:rPr>
        <w:br/>
      </w:r>
    </w:p>
    <w:p w14:paraId="7BA3C4C0" w14:textId="77777777" w:rsidR="005874E7" w:rsidRPr="003A6F4C" w:rsidRDefault="005874E7" w:rsidP="00D35B01">
      <w:pPr>
        <w:pStyle w:val="ListParagraph"/>
        <w:numPr>
          <w:ilvl w:val="0"/>
          <w:numId w:val="21"/>
        </w:numPr>
        <w:spacing w:before="100" w:after="100"/>
        <w:contextualSpacing/>
        <w:rPr>
          <w:rFonts w:ascii="Times New Roman" w:eastAsia="Times New Roman" w:hAnsi="Times New Roman"/>
          <w:sz w:val="24"/>
        </w:rPr>
      </w:pPr>
      <w:r w:rsidRPr="00E41325">
        <w:rPr>
          <w:rFonts w:ascii="Times New Roman" w:eastAsia="Times New Roman" w:hAnsi="Times New Roman"/>
          <w:sz w:val="24"/>
        </w:rPr>
        <w:t xml:space="preserve">When referring a complaint, the Commissioner may need to pass on information that you have provided to </w:t>
      </w:r>
      <w:r>
        <w:rPr>
          <w:rFonts w:ascii="Times New Roman" w:eastAsia="Times New Roman" w:hAnsi="Times New Roman"/>
          <w:sz w:val="24"/>
        </w:rPr>
        <w:t xml:space="preserve">the Commissioner, including your contact information, to </w:t>
      </w:r>
      <w:r w:rsidRPr="00E41325">
        <w:rPr>
          <w:rFonts w:ascii="Times New Roman" w:eastAsia="Times New Roman" w:hAnsi="Times New Roman"/>
          <w:sz w:val="24"/>
        </w:rPr>
        <w:t>the other party, department or agency.</w:t>
      </w:r>
      <w:r>
        <w:rPr>
          <w:rFonts w:ascii="Times New Roman" w:eastAsia="Times New Roman" w:hAnsi="Times New Roman"/>
          <w:sz w:val="24"/>
        </w:rPr>
        <w:br/>
      </w:r>
    </w:p>
    <w:p w14:paraId="54BFF741" w14:textId="77777777" w:rsidR="005874E7" w:rsidRPr="00650ED7" w:rsidRDefault="005874E7" w:rsidP="00D35B01">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The other party may contact you directly in writing to address the issues raised in your complaint or provide information to us that we may then share with you.</w:t>
      </w:r>
      <w:r w:rsidRPr="00650ED7">
        <w:rPr>
          <w:rFonts w:ascii="Times New Roman" w:eastAsia="Times New Roman" w:hAnsi="Times New Roman"/>
          <w:strike/>
          <w:sz w:val="24"/>
        </w:rPr>
        <w:br/>
      </w:r>
    </w:p>
    <w:p w14:paraId="637D5C0B" w14:textId="77777777" w:rsidR="005874E7" w:rsidRDefault="005874E7" w:rsidP="00D35B01">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 xml:space="preserve">Following any correspondence or discussion between the parties, </w:t>
      </w:r>
      <w:r w:rsidRPr="00177017">
        <w:rPr>
          <w:rFonts w:ascii="Times New Roman" w:eastAsia="Times New Roman" w:hAnsi="Times New Roman"/>
          <w:sz w:val="24"/>
        </w:rPr>
        <w:t xml:space="preserve">the Commissioner </w:t>
      </w:r>
      <w:r>
        <w:rPr>
          <w:rFonts w:ascii="Times New Roman" w:eastAsia="Times New Roman" w:hAnsi="Times New Roman"/>
          <w:sz w:val="24"/>
        </w:rPr>
        <w:t>may</w:t>
      </w:r>
      <w:r w:rsidRPr="00177017">
        <w:rPr>
          <w:rFonts w:ascii="Times New Roman" w:eastAsia="Times New Roman" w:hAnsi="Times New Roman"/>
          <w:sz w:val="24"/>
        </w:rPr>
        <w:t xml:space="preserve"> contact you </w:t>
      </w:r>
      <w:r>
        <w:rPr>
          <w:rFonts w:ascii="Times New Roman" w:eastAsia="Times New Roman" w:hAnsi="Times New Roman"/>
          <w:sz w:val="24"/>
        </w:rPr>
        <w:t xml:space="preserve"> and enquire whether or not the complaint has been resolved.</w:t>
      </w:r>
    </w:p>
    <w:p w14:paraId="5B40ED42" w14:textId="77777777" w:rsidR="005874E7" w:rsidRDefault="005874E7" w:rsidP="005874E7">
      <w:pPr>
        <w:pStyle w:val="ListParagraph"/>
        <w:numPr>
          <w:ilvl w:val="0"/>
          <w:numId w:val="0"/>
        </w:numPr>
        <w:spacing w:before="100" w:after="100"/>
        <w:ind w:left="360"/>
        <w:rPr>
          <w:rFonts w:ascii="Times New Roman" w:eastAsia="Times New Roman" w:hAnsi="Times New Roman"/>
          <w:sz w:val="24"/>
        </w:rPr>
      </w:pPr>
    </w:p>
    <w:p w14:paraId="64DADFF4" w14:textId="77777777" w:rsidR="005874E7" w:rsidRPr="006E7B2D" w:rsidRDefault="005874E7" w:rsidP="005874E7">
      <w:pPr>
        <w:spacing w:before="100" w:after="100"/>
        <w:rPr>
          <w:rFonts w:ascii="Times New Roman" w:eastAsia="Times New Roman" w:hAnsi="Times New Roman"/>
          <w:b/>
          <w:sz w:val="24"/>
        </w:rPr>
      </w:pPr>
      <w:r w:rsidRPr="004D60F3">
        <w:rPr>
          <w:rFonts w:ascii="Times New Roman" w:eastAsia="Times New Roman" w:hAnsi="Times New Roman"/>
          <w:b/>
          <w:sz w:val="24"/>
        </w:rPr>
        <w:t>Conciliation</w:t>
      </w:r>
      <w:r>
        <w:rPr>
          <w:rFonts w:ascii="Times New Roman" w:eastAsia="Times New Roman" w:hAnsi="Times New Roman"/>
          <w:b/>
          <w:sz w:val="24"/>
        </w:rPr>
        <w:br/>
      </w:r>
    </w:p>
    <w:p w14:paraId="3BCE91D2" w14:textId="77777777" w:rsidR="005874E7" w:rsidRPr="004F694B" w:rsidRDefault="005874E7" w:rsidP="00D35B01">
      <w:pPr>
        <w:pStyle w:val="ListParagraph"/>
        <w:numPr>
          <w:ilvl w:val="0"/>
          <w:numId w:val="21"/>
        </w:numPr>
        <w:spacing w:before="100" w:after="100"/>
        <w:contextualSpacing/>
        <w:rPr>
          <w:rFonts w:ascii="Times New Roman" w:eastAsia="Times New Roman" w:hAnsi="Times New Roman"/>
          <w:sz w:val="24"/>
        </w:rPr>
      </w:pPr>
      <w:r w:rsidRPr="00FA24FE">
        <w:rPr>
          <w:rFonts w:ascii="Times New Roman" w:eastAsia="Times New Roman" w:hAnsi="Times New Roman"/>
          <w:sz w:val="24"/>
        </w:rPr>
        <w:t xml:space="preserve">In the event that the complaint has not been resolved by referral, the Commissioner may </w:t>
      </w:r>
      <w:r>
        <w:rPr>
          <w:rFonts w:ascii="Times New Roman" w:eastAsia="Times New Roman" w:hAnsi="Times New Roman"/>
          <w:sz w:val="24"/>
        </w:rPr>
        <w:t>seek</w:t>
      </w:r>
      <w:r w:rsidRPr="00FA24FE">
        <w:rPr>
          <w:rFonts w:ascii="Times New Roman" w:eastAsia="Times New Roman" w:hAnsi="Times New Roman"/>
          <w:sz w:val="24"/>
        </w:rPr>
        <w:t xml:space="preserve"> to conciliate the complaint between you and the other party.</w:t>
      </w:r>
      <w:r>
        <w:rPr>
          <w:rFonts w:ascii="Times New Roman" w:eastAsia="Times New Roman" w:hAnsi="Times New Roman"/>
          <w:sz w:val="24"/>
        </w:rPr>
        <w:t xml:space="preserve"> </w:t>
      </w:r>
      <w:r w:rsidRPr="00FA24FE">
        <w:rPr>
          <w:rFonts w:ascii="Times New Roman" w:eastAsia="Times New Roman" w:hAnsi="Times New Roman"/>
          <w:sz w:val="24"/>
        </w:rPr>
        <w:t xml:space="preserve"> </w:t>
      </w:r>
      <w:r>
        <w:rPr>
          <w:rFonts w:ascii="Times New Roman" w:eastAsia="Times New Roman" w:hAnsi="Times New Roman"/>
          <w:sz w:val="24"/>
        </w:rPr>
        <w:t xml:space="preserve">If the parties are agreeable, the </w:t>
      </w:r>
      <w:r w:rsidRPr="00FA24FE">
        <w:rPr>
          <w:rFonts w:ascii="Times New Roman" w:eastAsia="Times New Roman" w:hAnsi="Times New Roman"/>
          <w:sz w:val="24"/>
        </w:rPr>
        <w:t>Commissioner will invite you and the other party</w:t>
      </w:r>
      <w:r>
        <w:rPr>
          <w:rFonts w:ascii="Times New Roman" w:eastAsia="Times New Roman" w:hAnsi="Times New Roman"/>
          <w:sz w:val="24"/>
        </w:rPr>
        <w:t xml:space="preserve"> to meet </w:t>
      </w:r>
      <w:r w:rsidRPr="00FA24FE">
        <w:rPr>
          <w:rFonts w:ascii="Times New Roman" w:eastAsia="Times New Roman" w:hAnsi="Times New Roman"/>
          <w:sz w:val="24"/>
        </w:rPr>
        <w:t xml:space="preserve">with the Commissioner </w:t>
      </w:r>
      <w:r>
        <w:rPr>
          <w:rFonts w:ascii="Times New Roman" w:eastAsia="Times New Roman" w:hAnsi="Times New Roman"/>
          <w:sz w:val="24"/>
        </w:rPr>
        <w:t xml:space="preserve">for a </w:t>
      </w:r>
      <w:r w:rsidRPr="00FA24FE">
        <w:rPr>
          <w:rFonts w:ascii="Times New Roman" w:eastAsia="Times New Roman" w:hAnsi="Times New Roman"/>
          <w:sz w:val="24"/>
        </w:rPr>
        <w:t>discuss</w:t>
      </w:r>
      <w:r>
        <w:rPr>
          <w:rFonts w:ascii="Times New Roman" w:eastAsia="Times New Roman" w:hAnsi="Times New Roman"/>
          <w:sz w:val="24"/>
        </w:rPr>
        <w:t>ion about</w:t>
      </w:r>
      <w:r w:rsidRPr="00FA24FE">
        <w:rPr>
          <w:rFonts w:ascii="Times New Roman" w:eastAsia="Times New Roman" w:hAnsi="Times New Roman"/>
          <w:sz w:val="24"/>
        </w:rPr>
        <w:t xml:space="preserve"> the complaint and </w:t>
      </w:r>
      <w:r>
        <w:rPr>
          <w:rFonts w:ascii="Times New Roman" w:eastAsia="Times New Roman" w:hAnsi="Times New Roman"/>
          <w:sz w:val="24"/>
        </w:rPr>
        <w:t>potential solutions</w:t>
      </w:r>
      <w:r w:rsidRPr="00FA24FE">
        <w:rPr>
          <w:rFonts w:ascii="Times New Roman" w:eastAsia="Times New Roman" w:hAnsi="Times New Roman"/>
          <w:sz w:val="24"/>
        </w:rPr>
        <w:t xml:space="preserve">. </w:t>
      </w:r>
      <w:r>
        <w:rPr>
          <w:rFonts w:ascii="Times New Roman" w:eastAsia="Times New Roman" w:hAnsi="Times New Roman"/>
          <w:sz w:val="24"/>
        </w:rPr>
        <w:t xml:space="preserve"> The meeting is an opportunity for the parties to come together, present their point of view and, in the presence of the Commissioner, attempt to resolve the complaint by agreement.</w:t>
      </w:r>
      <w:r w:rsidRPr="004F694B">
        <w:rPr>
          <w:rFonts w:ascii="Times New Roman" w:eastAsia="Times New Roman" w:hAnsi="Times New Roman"/>
          <w:sz w:val="24"/>
        </w:rPr>
        <w:br/>
      </w:r>
    </w:p>
    <w:p w14:paraId="7EBCFAA1" w14:textId="77777777" w:rsidR="005874E7" w:rsidRDefault="005874E7" w:rsidP="00D35B01">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 xml:space="preserve">The Commissioner will confirm, after consultation with the parties, when and where the meeting will take place and who is to attend the meeting.  </w:t>
      </w:r>
    </w:p>
    <w:p w14:paraId="32E7EE6C" w14:textId="77777777" w:rsidR="005874E7" w:rsidRDefault="005874E7" w:rsidP="005874E7">
      <w:pPr>
        <w:pStyle w:val="ListParagraph"/>
        <w:numPr>
          <w:ilvl w:val="0"/>
          <w:numId w:val="0"/>
        </w:numPr>
        <w:spacing w:before="100" w:after="100"/>
        <w:ind w:left="360"/>
        <w:rPr>
          <w:rFonts w:ascii="Times New Roman" w:eastAsia="Times New Roman" w:hAnsi="Times New Roman"/>
          <w:sz w:val="24"/>
        </w:rPr>
      </w:pPr>
    </w:p>
    <w:p w14:paraId="06B2697F" w14:textId="77777777" w:rsidR="005874E7" w:rsidRDefault="005874E7" w:rsidP="00D35B01">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 xml:space="preserve"> At the beginning of the conciliation meeting, the parties will be informed by the Commissioner about the way the conciliation will be conducted and the role of the Commissioner at the meeting.  </w:t>
      </w:r>
    </w:p>
    <w:p w14:paraId="0585F2D3" w14:textId="77777777" w:rsidR="005874E7" w:rsidRDefault="005874E7" w:rsidP="005874E7">
      <w:pPr>
        <w:pStyle w:val="ListParagraph"/>
        <w:numPr>
          <w:ilvl w:val="0"/>
          <w:numId w:val="0"/>
        </w:numPr>
        <w:spacing w:before="100" w:after="100"/>
        <w:ind w:left="360"/>
        <w:rPr>
          <w:rFonts w:ascii="Times New Roman" w:eastAsia="Times New Roman" w:hAnsi="Times New Roman"/>
          <w:sz w:val="24"/>
        </w:rPr>
      </w:pPr>
    </w:p>
    <w:p w14:paraId="7EC13947" w14:textId="77777777" w:rsidR="005874E7" w:rsidRPr="00533280" w:rsidRDefault="005874E7" w:rsidP="00D35B01">
      <w:pPr>
        <w:pStyle w:val="ListParagraph"/>
        <w:numPr>
          <w:ilvl w:val="0"/>
          <w:numId w:val="21"/>
        </w:numPr>
        <w:spacing w:before="100" w:after="100"/>
        <w:contextualSpacing/>
        <w:rPr>
          <w:rFonts w:ascii="Times New Roman" w:eastAsia="Times New Roman" w:hAnsi="Times New Roman"/>
          <w:sz w:val="24"/>
        </w:rPr>
      </w:pPr>
      <w:r w:rsidRPr="00FA24FE">
        <w:rPr>
          <w:rFonts w:ascii="Times New Roman" w:eastAsia="Times New Roman" w:hAnsi="Times New Roman"/>
          <w:sz w:val="24"/>
        </w:rPr>
        <w:t xml:space="preserve"> </w:t>
      </w:r>
      <w:r>
        <w:rPr>
          <w:rFonts w:ascii="Times New Roman" w:eastAsia="Times New Roman" w:hAnsi="Times New Roman"/>
          <w:sz w:val="24"/>
        </w:rPr>
        <w:t>If parties do not resolve the complaint at the conciliation meeting, a further meeting may be scheduled if the Commissioner is of the view that a subsequent meeting would be productive.</w:t>
      </w:r>
      <w:r>
        <w:rPr>
          <w:rFonts w:ascii="Times New Roman" w:eastAsia="Times New Roman" w:hAnsi="Times New Roman"/>
          <w:sz w:val="24"/>
        </w:rPr>
        <w:br/>
      </w:r>
    </w:p>
    <w:p w14:paraId="55BF5493" w14:textId="77777777" w:rsidR="005874E7" w:rsidRDefault="005874E7" w:rsidP="00D35B01">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 xml:space="preserve">If attempts to conciliate the complaint do not result in an agreement to resolve the complaint, the Commissioner may, at the Commissioner’s discretion, make non-binding recommendations to the parties.  Such recommendations are not enforceable and are made in good faith for the parties to consider and decide whether or not to accept any recommendations made.  </w:t>
      </w:r>
      <w:r>
        <w:rPr>
          <w:rFonts w:ascii="Times New Roman" w:eastAsia="Times New Roman" w:hAnsi="Times New Roman"/>
          <w:sz w:val="24"/>
        </w:rPr>
        <w:br/>
      </w:r>
    </w:p>
    <w:p w14:paraId="281C67F1" w14:textId="77777777" w:rsidR="005874E7" w:rsidRDefault="005874E7" w:rsidP="005874E7">
      <w:pPr>
        <w:keepNext/>
        <w:spacing w:before="100" w:after="100"/>
        <w:rPr>
          <w:rFonts w:ascii="Times New Roman" w:eastAsia="Times New Roman" w:hAnsi="Times New Roman"/>
          <w:b/>
          <w:sz w:val="24"/>
        </w:rPr>
      </w:pPr>
      <w:r>
        <w:rPr>
          <w:rFonts w:ascii="Times New Roman" w:eastAsia="Times New Roman" w:hAnsi="Times New Roman"/>
          <w:b/>
          <w:sz w:val="24"/>
        </w:rPr>
        <w:t>Closure</w:t>
      </w:r>
      <w:r>
        <w:rPr>
          <w:rFonts w:ascii="Times New Roman" w:eastAsia="Times New Roman" w:hAnsi="Times New Roman"/>
          <w:b/>
          <w:sz w:val="24"/>
        </w:rPr>
        <w:br/>
      </w:r>
    </w:p>
    <w:p w14:paraId="64CC488A" w14:textId="77777777" w:rsidR="005874E7" w:rsidRPr="00271D43" w:rsidRDefault="005874E7" w:rsidP="00D35B01">
      <w:pPr>
        <w:pStyle w:val="ListParagraph"/>
        <w:numPr>
          <w:ilvl w:val="0"/>
          <w:numId w:val="21"/>
        </w:numPr>
        <w:spacing w:before="100" w:after="100"/>
        <w:contextualSpacing/>
        <w:rPr>
          <w:rFonts w:ascii="Times New Roman" w:eastAsia="Times New Roman" w:hAnsi="Times New Roman"/>
          <w:sz w:val="24"/>
        </w:rPr>
      </w:pPr>
      <w:r w:rsidRPr="003D7C76">
        <w:rPr>
          <w:rFonts w:ascii="Times New Roman" w:eastAsia="Times New Roman" w:hAnsi="Times New Roman"/>
          <w:sz w:val="24"/>
          <w:szCs w:val="24"/>
        </w:rPr>
        <w:t xml:space="preserve">The Commissioner will consider </w:t>
      </w:r>
      <w:r>
        <w:rPr>
          <w:rFonts w:ascii="Times New Roman" w:eastAsia="Times New Roman" w:hAnsi="Times New Roman"/>
          <w:sz w:val="24"/>
          <w:szCs w:val="24"/>
        </w:rPr>
        <w:t xml:space="preserve">whether </w:t>
      </w:r>
      <w:r w:rsidRPr="003D7C76">
        <w:rPr>
          <w:rFonts w:ascii="Times New Roman" w:eastAsia="Times New Roman" w:hAnsi="Times New Roman"/>
          <w:sz w:val="24"/>
          <w:szCs w:val="24"/>
        </w:rPr>
        <w:t xml:space="preserve">a complaint is resolved and/or may close the file </w:t>
      </w:r>
      <w:r>
        <w:rPr>
          <w:rFonts w:ascii="Times New Roman" w:eastAsia="Times New Roman" w:hAnsi="Times New Roman"/>
          <w:sz w:val="24"/>
          <w:szCs w:val="24"/>
        </w:rPr>
        <w:t xml:space="preserve">and stop handling the complaint </w:t>
      </w:r>
      <w:r w:rsidRPr="003D7C76">
        <w:rPr>
          <w:rFonts w:ascii="Times New Roman" w:eastAsia="Times New Roman" w:hAnsi="Times New Roman"/>
          <w:sz w:val="24"/>
          <w:szCs w:val="24"/>
        </w:rPr>
        <w:t xml:space="preserve">at the Commissioner’s discretion. </w:t>
      </w:r>
      <w:r>
        <w:rPr>
          <w:rFonts w:ascii="Times New Roman" w:eastAsia="Times New Roman" w:hAnsi="Times New Roman"/>
          <w:sz w:val="24"/>
          <w:szCs w:val="24"/>
        </w:rPr>
        <w:t xml:space="preserve"> </w:t>
      </w:r>
      <w:r w:rsidRPr="003D7C76">
        <w:rPr>
          <w:rFonts w:ascii="Times New Roman" w:eastAsia="Times New Roman" w:hAnsi="Times New Roman"/>
          <w:sz w:val="24"/>
          <w:szCs w:val="24"/>
        </w:rPr>
        <w:t>Reasons may include</w:t>
      </w:r>
      <w:r>
        <w:rPr>
          <w:rFonts w:ascii="Times New Roman" w:eastAsia="Times New Roman" w:hAnsi="Times New Roman"/>
          <w:sz w:val="24"/>
          <w:szCs w:val="24"/>
        </w:rPr>
        <w:t xml:space="preserve"> where</w:t>
      </w:r>
      <w:r w:rsidRPr="003D7C76">
        <w:rPr>
          <w:rFonts w:ascii="Times New Roman" w:eastAsia="Times New Roman" w:hAnsi="Times New Roman"/>
          <w:sz w:val="24"/>
          <w:szCs w:val="24"/>
        </w:rPr>
        <w:t>:</w:t>
      </w:r>
    </w:p>
    <w:p w14:paraId="0C07B49F" w14:textId="77777777" w:rsidR="005874E7" w:rsidRDefault="005874E7" w:rsidP="00D35B01">
      <w:pPr>
        <w:numPr>
          <w:ilvl w:val="0"/>
          <w:numId w:val="16"/>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 xml:space="preserve">you </w:t>
      </w:r>
      <w:r w:rsidRPr="00A65E22">
        <w:rPr>
          <w:rFonts w:ascii="Times New Roman" w:eastAsia="Times New Roman" w:hAnsi="Times New Roman"/>
          <w:sz w:val="24"/>
          <w:szCs w:val="24"/>
        </w:rPr>
        <w:t xml:space="preserve">confirm </w:t>
      </w:r>
      <w:r>
        <w:rPr>
          <w:rFonts w:ascii="Times New Roman" w:eastAsia="Times New Roman" w:hAnsi="Times New Roman"/>
          <w:sz w:val="24"/>
          <w:szCs w:val="24"/>
        </w:rPr>
        <w:t xml:space="preserve">that you have </w:t>
      </w:r>
      <w:r w:rsidRPr="00A65E22">
        <w:rPr>
          <w:rFonts w:ascii="Times New Roman" w:eastAsia="Times New Roman" w:hAnsi="Times New Roman"/>
          <w:sz w:val="24"/>
          <w:szCs w:val="24"/>
        </w:rPr>
        <w:t>accept</w:t>
      </w:r>
      <w:r>
        <w:rPr>
          <w:rFonts w:ascii="Times New Roman" w:eastAsia="Times New Roman" w:hAnsi="Times New Roman"/>
          <w:sz w:val="24"/>
          <w:szCs w:val="24"/>
        </w:rPr>
        <w:t>ed</w:t>
      </w:r>
      <w:r w:rsidRPr="00A65E22">
        <w:rPr>
          <w:rFonts w:ascii="Times New Roman" w:eastAsia="Times New Roman" w:hAnsi="Times New Roman"/>
          <w:sz w:val="24"/>
          <w:szCs w:val="24"/>
        </w:rPr>
        <w:t xml:space="preserve"> the </w:t>
      </w:r>
      <w:r>
        <w:rPr>
          <w:rFonts w:ascii="Times New Roman" w:eastAsia="Times New Roman" w:hAnsi="Times New Roman"/>
          <w:sz w:val="24"/>
          <w:szCs w:val="24"/>
        </w:rPr>
        <w:t xml:space="preserve">other party’s </w:t>
      </w:r>
      <w:r w:rsidRPr="00A65E22">
        <w:rPr>
          <w:rFonts w:ascii="Times New Roman" w:eastAsia="Times New Roman" w:hAnsi="Times New Roman"/>
          <w:sz w:val="24"/>
          <w:szCs w:val="24"/>
        </w:rPr>
        <w:t>offered resolution</w:t>
      </w:r>
    </w:p>
    <w:p w14:paraId="1EA8ED1D" w14:textId="77777777" w:rsidR="005874E7" w:rsidRDefault="005874E7" w:rsidP="00D35B01">
      <w:pPr>
        <w:numPr>
          <w:ilvl w:val="0"/>
          <w:numId w:val="16"/>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information has been provided by the respondent that addresses the questions or issues raised</w:t>
      </w:r>
    </w:p>
    <w:p w14:paraId="519D3199" w14:textId="77777777" w:rsidR="005874E7" w:rsidRPr="00820217" w:rsidRDefault="005874E7" w:rsidP="00D35B01">
      <w:pPr>
        <w:numPr>
          <w:ilvl w:val="0"/>
          <w:numId w:val="16"/>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lastRenderedPageBreak/>
        <w:t>the Commissioner has made recommendations to the parties</w:t>
      </w:r>
    </w:p>
    <w:p w14:paraId="1684A00A" w14:textId="77777777" w:rsidR="005874E7" w:rsidRDefault="005874E7" w:rsidP="00D35B01">
      <w:pPr>
        <w:numPr>
          <w:ilvl w:val="0"/>
          <w:numId w:val="16"/>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you do not provide consent for us to discuss your complaint or share information</w:t>
      </w:r>
    </w:p>
    <w:p w14:paraId="78FC50DC" w14:textId="77777777" w:rsidR="005874E7" w:rsidRPr="00913BDF" w:rsidRDefault="005874E7" w:rsidP="00D35B01">
      <w:pPr>
        <w:numPr>
          <w:ilvl w:val="0"/>
          <w:numId w:val="16"/>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 xml:space="preserve">despite our efforts, </w:t>
      </w:r>
      <w:r w:rsidRPr="008A009F">
        <w:rPr>
          <w:rFonts w:ascii="Times New Roman" w:eastAsia="Times New Roman" w:hAnsi="Times New Roman"/>
          <w:sz w:val="24"/>
          <w:szCs w:val="24"/>
        </w:rPr>
        <w:t>you</w:t>
      </w:r>
      <w:r>
        <w:rPr>
          <w:rFonts w:ascii="Times New Roman" w:eastAsia="Times New Roman" w:hAnsi="Times New Roman"/>
          <w:sz w:val="24"/>
          <w:szCs w:val="24"/>
        </w:rPr>
        <w:t xml:space="preserve"> have not been able to reach a resolution of your complaint </w:t>
      </w:r>
      <w:r w:rsidRPr="008A009F">
        <w:rPr>
          <w:rFonts w:ascii="Times New Roman" w:eastAsia="Times New Roman" w:hAnsi="Times New Roman"/>
          <w:sz w:val="24"/>
          <w:szCs w:val="24"/>
        </w:rPr>
        <w:t xml:space="preserve">and we consider that further time and effort in handling the complaint </w:t>
      </w:r>
      <w:r>
        <w:rPr>
          <w:rFonts w:ascii="Times New Roman" w:eastAsia="Times New Roman" w:hAnsi="Times New Roman"/>
          <w:sz w:val="24"/>
          <w:szCs w:val="24"/>
        </w:rPr>
        <w:t xml:space="preserve">will </w:t>
      </w:r>
      <w:r w:rsidRPr="008A009F">
        <w:rPr>
          <w:rFonts w:ascii="Times New Roman" w:eastAsia="Times New Roman" w:hAnsi="Times New Roman"/>
          <w:sz w:val="24"/>
          <w:szCs w:val="24"/>
        </w:rPr>
        <w:t xml:space="preserve">not </w:t>
      </w:r>
      <w:r>
        <w:rPr>
          <w:rFonts w:ascii="Times New Roman" w:eastAsia="Times New Roman" w:hAnsi="Times New Roman"/>
          <w:sz w:val="24"/>
          <w:szCs w:val="24"/>
        </w:rPr>
        <w:t>assist with achieving a resolution</w:t>
      </w:r>
    </w:p>
    <w:p w14:paraId="02B6EEBA" w14:textId="77777777" w:rsidR="005874E7" w:rsidRPr="008A009F" w:rsidRDefault="005874E7" w:rsidP="00D35B01">
      <w:pPr>
        <w:numPr>
          <w:ilvl w:val="0"/>
          <w:numId w:val="16"/>
        </w:numPr>
        <w:tabs>
          <w:tab w:val="left" w:pos="720"/>
        </w:tabs>
        <w:spacing w:before="100" w:after="100"/>
        <w:ind w:left="720" w:hanging="360"/>
        <w:rPr>
          <w:rFonts w:ascii="Times New Roman" w:eastAsia="Times New Roman" w:hAnsi="Times New Roman"/>
          <w:sz w:val="24"/>
          <w:szCs w:val="24"/>
        </w:rPr>
      </w:pPr>
      <w:r w:rsidRPr="008A009F">
        <w:rPr>
          <w:rFonts w:ascii="Times New Roman" w:eastAsia="Times New Roman" w:hAnsi="Times New Roman"/>
          <w:sz w:val="24"/>
          <w:szCs w:val="24"/>
        </w:rPr>
        <w:t>you advise us that you no longer wish to pursue the complaint</w:t>
      </w:r>
      <w:r>
        <w:rPr>
          <w:rFonts w:ascii="Times New Roman" w:eastAsia="Times New Roman" w:hAnsi="Times New Roman"/>
          <w:sz w:val="24"/>
          <w:szCs w:val="24"/>
        </w:rPr>
        <w:t>; or</w:t>
      </w:r>
    </w:p>
    <w:p w14:paraId="3EF11124" w14:textId="77777777" w:rsidR="005874E7" w:rsidRPr="00203EA3" w:rsidRDefault="005874E7" w:rsidP="00D35B01">
      <w:pPr>
        <w:numPr>
          <w:ilvl w:val="0"/>
          <w:numId w:val="16"/>
        </w:numPr>
        <w:tabs>
          <w:tab w:val="left" w:pos="720"/>
        </w:tabs>
        <w:spacing w:before="100" w:after="100"/>
        <w:ind w:left="720" w:hanging="360"/>
        <w:rPr>
          <w:rFonts w:ascii="Times New Roman" w:eastAsia="Times New Roman" w:hAnsi="Times New Roman"/>
          <w:sz w:val="24"/>
          <w:szCs w:val="24"/>
        </w:rPr>
      </w:pPr>
      <w:r w:rsidRPr="008A009F">
        <w:rPr>
          <w:rFonts w:ascii="Times New Roman" w:eastAsia="Times New Roman" w:hAnsi="Times New Roman"/>
          <w:sz w:val="24"/>
          <w:szCs w:val="24"/>
        </w:rPr>
        <w:t>d</w:t>
      </w:r>
      <w:r>
        <w:rPr>
          <w:rFonts w:ascii="Times New Roman" w:eastAsia="Times New Roman" w:hAnsi="Times New Roman"/>
          <w:sz w:val="24"/>
          <w:szCs w:val="24"/>
        </w:rPr>
        <w:t xml:space="preserve">espite our </w:t>
      </w:r>
      <w:r w:rsidRPr="008A009F">
        <w:rPr>
          <w:rFonts w:ascii="Times New Roman" w:eastAsia="Times New Roman" w:hAnsi="Times New Roman"/>
          <w:sz w:val="24"/>
          <w:szCs w:val="24"/>
        </w:rPr>
        <w:t>efforts, you cannot be contacted by us to discuss t</w:t>
      </w:r>
      <w:r w:rsidRPr="009A2326">
        <w:rPr>
          <w:rFonts w:ascii="Times New Roman" w:eastAsia="Times New Roman" w:hAnsi="Times New Roman"/>
          <w:sz w:val="24"/>
          <w:szCs w:val="24"/>
        </w:rPr>
        <w:t>he complaint</w:t>
      </w:r>
      <w:r>
        <w:rPr>
          <w:rFonts w:ascii="Times New Roman" w:eastAsia="Times New Roman" w:hAnsi="Times New Roman"/>
          <w:sz w:val="24"/>
          <w:szCs w:val="24"/>
        </w:rPr>
        <w:t>.</w:t>
      </w:r>
      <w:r w:rsidRPr="009A2326">
        <w:rPr>
          <w:rFonts w:ascii="Times New Roman" w:eastAsia="Times New Roman" w:hAnsi="Times New Roman"/>
          <w:sz w:val="24"/>
          <w:szCs w:val="24"/>
        </w:rPr>
        <w:br/>
      </w:r>
    </w:p>
    <w:p w14:paraId="412B5511" w14:textId="77777777" w:rsidR="005874E7" w:rsidRPr="00095599" w:rsidRDefault="005874E7" w:rsidP="00D35B01">
      <w:pPr>
        <w:pStyle w:val="ListParagraph"/>
        <w:numPr>
          <w:ilvl w:val="0"/>
          <w:numId w:val="21"/>
        </w:numPr>
        <w:spacing w:before="100" w:after="100"/>
        <w:contextualSpacing/>
        <w:rPr>
          <w:rFonts w:ascii="Times New Roman" w:eastAsia="Times New Roman" w:hAnsi="Times New Roman"/>
          <w:sz w:val="24"/>
          <w:szCs w:val="24"/>
        </w:rPr>
      </w:pPr>
      <w:r>
        <w:rPr>
          <w:rFonts w:ascii="Times New Roman" w:eastAsia="Times New Roman" w:hAnsi="Times New Roman"/>
          <w:sz w:val="24"/>
          <w:szCs w:val="24"/>
        </w:rPr>
        <w:t xml:space="preserve">The Commissioner </w:t>
      </w:r>
      <w:r w:rsidRPr="00095599">
        <w:rPr>
          <w:rFonts w:ascii="Times New Roman" w:eastAsia="Times New Roman" w:hAnsi="Times New Roman"/>
          <w:sz w:val="24"/>
          <w:szCs w:val="24"/>
        </w:rPr>
        <w:t xml:space="preserve">may </w:t>
      </w:r>
      <w:r>
        <w:rPr>
          <w:rFonts w:ascii="Times New Roman" w:eastAsia="Times New Roman" w:hAnsi="Times New Roman"/>
          <w:sz w:val="24"/>
          <w:szCs w:val="24"/>
        </w:rPr>
        <w:t xml:space="preserve">decide to </w:t>
      </w:r>
      <w:r w:rsidRPr="00095599">
        <w:rPr>
          <w:rFonts w:ascii="Times New Roman" w:eastAsia="Times New Roman" w:hAnsi="Times New Roman"/>
          <w:sz w:val="24"/>
          <w:szCs w:val="24"/>
        </w:rPr>
        <w:t xml:space="preserve">also stop handling a complaint </w:t>
      </w:r>
      <w:r>
        <w:rPr>
          <w:rFonts w:ascii="Times New Roman" w:eastAsia="Times New Roman" w:hAnsi="Times New Roman"/>
          <w:sz w:val="24"/>
          <w:szCs w:val="24"/>
        </w:rPr>
        <w:t>for other reasons.</w:t>
      </w:r>
      <w:r w:rsidRPr="00095599">
        <w:rPr>
          <w:rFonts w:ascii="Times New Roman" w:eastAsia="Times New Roman" w:hAnsi="Times New Roman"/>
          <w:sz w:val="24"/>
          <w:szCs w:val="24"/>
        </w:rPr>
        <w:t xml:space="preserve"> </w:t>
      </w:r>
      <w:r>
        <w:rPr>
          <w:rFonts w:ascii="Times New Roman" w:eastAsia="Times New Roman" w:hAnsi="Times New Roman"/>
          <w:sz w:val="24"/>
          <w:szCs w:val="24"/>
        </w:rPr>
        <w:t xml:space="preserve">These include </w:t>
      </w:r>
      <w:r w:rsidRPr="00095599">
        <w:rPr>
          <w:rFonts w:ascii="Times New Roman" w:eastAsia="Times New Roman" w:hAnsi="Times New Roman"/>
          <w:sz w:val="24"/>
          <w:szCs w:val="24"/>
        </w:rPr>
        <w:t>where:</w:t>
      </w:r>
    </w:p>
    <w:p w14:paraId="366B467E" w14:textId="77777777" w:rsidR="005874E7" w:rsidRDefault="005874E7" w:rsidP="00D35B01">
      <w:pPr>
        <w:numPr>
          <w:ilvl w:val="0"/>
          <w:numId w:val="17"/>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 xml:space="preserve">you have not provided sufficient </w:t>
      </w:r>
      <w:r w:rsidRPr="00A65E22">
        <w:rPr>
          <w:rFonts w:ascii="Times New Roman" w:eastAsia="Times New Roman" w:hAnsi="Times New Roman"/>
          <w:sz w:val="24"/>
          <w:szCs w:val="24"/>
        </w:rPr>
        <w:t>document</w:t>
      </w:r>
      <w:r>
        <w:rPr>
          <w:rFonts w:ascii="Times New Roman" w:eastAsia="Times New Roman" w:hAnsi="Times New Roman"/>
          <w:sz w:val="24"/>
          <w:szCs w:val="24"/>
        </w:rPr>
        <w:t>ation</w:t>
      </w:r>
      <w:r w:rsidRPr="00A65E22">
        <w:rPr>
          <w:rFonts w:ascii="Times New Roman" w:eastAsia="Times New Roman" w:hAnsi="Times New Roman"/>
          <w:sz w:val="24"/>
          <w:szCs w:val="24"/>
        </w:rPr>
        <w:t xml:space="preserve"> or evidence</w:t>
      </w:r>
      <w:r>
        <w:rPr>
          <w:rFonts w:ascii="Times New Roman" w:eastAsia="Times New Roman" w:hAnsi="Times New Roman"/>
          <w:sz w:val="24"/>
          <w:szCs w:val="24"/>
        </w:rPr>
        <w:t xml:space="preserve"> by a stated time for there to be an meaningful discussion of the complaint between the parties</w:t>
      </w:r>
    </w:p>
    <w:p w14:paraId="4C7C1708" w14:textId="77777777" w:rsidR="005874E7" w:rsidRDefault="005874E7" w:rsidP="00D35B01">
      <w:pPr>
        <w:numPr>
          <w:ilvl w:val="0"/>
          <w:numId w:val="17"/>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you have engaged legal representation to handle your complaint</w:t>
      </w:r>
    </w:p>
    <w:p w14:paraId="4F8C5DC7" w14:textId="77777777" w:rsidR="005874E7" w:rsidRPr="00A65E22" w:rsidRDefault="005874E7" w:rsidP="00D35B01">
      <w:pPr>
        <w:numPr>
          <w:ilvl w:val="0"/>
          <w:numId w:val="17"/>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you have made threats to our Office or respondents to the complaint</w:t>
      </w:r>
    </w:p>
    <w:p w14:paraId="56F68D42" w14:textId="77777777" w:rsidR="005874E7" w:rsidRPr="00A65E22" w:rsidRDefault="005874E7" w:rsidP="00D35B01">
      <w:pPr>
        <w:numPr>
          <w:ilvl w:val="0"/>
          <w:numId w:val="17"/>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your</w:t>
      </w:r>
      <w:r w:rsidRPr="00A65E22">
        <w:rPr>
          <w:rFonts w:ascii="Times New Roman" w:eastAsia="Times New Roman" w:hAnsi="Times New Roman"/>
          <w:sz w:val="24"/>
          <w:szCs w:val="24"/>
        </w:rPr>
        <w:t xml:space="preserve"> behaviour has been unreasonable</w:t>
      </w:r>
      <w:r>
        <w:rPr>
          <w:rFonts w:ascii="Times New Roman" w:eastAsia="Times New Roman" w:hAnsi="Times New Roman"/>
          <w:sz w:val="24"/>
          <w:szCs w:val="24"/>
        </w:rPr>
        <w:t xml:space="preserve"> and detrimental to the objective of reaching a resolution to the complaint</w:t>
      </w:r>
      <w:r w:rsidRPr="00A65E22">
        <w:rPr>
          <w:rFonts w:ascii="Times New Roman" w:eastAsia="Times New Roman" w:hAnsi="Times New Roman"/>
          <w:sz w:val="24"/>
          <w:szCs w:val="24"/>
        </w:rPr>
        <w:t>.</w:t>
      </w:r>
    </w:p>
    <w:p w14:paraId="4B960161" w14:textId="77777777" w:rsidR="005874E7" w:rsidRDefault="005874E7" w:rsidP="005874E7">
      <w:pPr>
        <w:spacing w:before="100" w:after="100"/>
        <w:rPr>
          <w:rFonts w:ascii="Times New Roman" w:eastAsia="Times New Roman" w:hAnsi="Times New Roman"/>
          <w:sz w:val="24"/>
          <w:szCs w:val="24"/>
        </w:rPr>
      </w:pPr>
      <w:r>
        <w:rPr>
          <w:rFonts w:ascii="Times New Roman" w:eastAsia="Times New Roman" w:hAnsi="Times New Roman"/>
          <w:sz w:val="24"/>
          <w:szCs w:val="24"/>
        </w:rPr>
        <w:t>When we close the file on an accepted</w:t>
      </w:r>
      <w:r w:rsidRPr="00A65E22">
        <w:rPr>
          <w:rFonts w:ascii="Times New Roman" w:eastAsia="Times New Roman" w:hAnsi="Times New Roman"/>
          <w:sz w:val="24"/>
          <w:szCs w:val="24"/>
        </w:rPr>
        <w:t xml:space="preserve"> </w:t>
      </w:r>
      <w:r>
        <w:rPr>
          <w:rFonts w:ascii="Times New Roman" w:eastAsia="Times New Roman" w:hAnsi="Times New Roman"/>
          <w:sz w:val="24"/>
          <w:szCs w:val="24"/>
        </w:rPr>
        <w:t>complaint,</w:t>
      </w:r>
      <w:r w:rsidRPr="00A65E22">
        <w:rPr>
          <w:rFonts w:ascii="Times New Roman" w:eastAsia="Times New Roman" w:hAnsi="Times New Roman"/>
          <w:sz w:val="24"/>
          <w:szCs w:val="24"/>
        </w:rPr>
        <w:t xml:space="preserve"> we </w:t>
      </w:r>
      <w:r>
        <w:rPr>
          <w:rFonts w:ascii="Times New Roman" w:eastAsia="Times New Roman" w:hAnsi="Times New Roman"/>
          <w:sz w:val="24"/>
          <w:szCs w:val="24"/>
        </w:rPr>
        <w:t>may advise you</w:t>
      </w:r>
      <w:r w:rsidRPr="00A65E22">
        <w:rPr>
          <w:rFonts w:ascii="Times New Roman" w:eastAsia="Times New Roman" w:hAnsi="Times New Roman"/>
          <w:sz w:val="24"/>
          <w:szCs w:val="24"/>
        </w:rPr>
        <w:t xml:space="preserve"> that the matter will not be considered further</w:t>
      </w:r>
      <w:r>
        <w:rPr>
          <w:rFonts w:ascii="Times New Roman" w:eastAsia="Times New Roman" w:hAnsi="Times New Roman"/>
          <w:sz w:val="24"/>
          <w:szCs w:val="24"/>
        </w:rPr>
        <w:t xml:space="preserve"> by our Office</w:t>
      </w:r>
      <w:r w:rsidRPr="00A65E22">
        <w:rPr>
          <w:rFonts w:ascii="Times New Roman" w:eastAsia="Times New Roman" w:hAnsi="Times New Roman"/>
          <w:sz w:val="24"/>
          <w:szCs w:val="24"/>
        </w:rPr>
        <w:t xml:space="preserve"> and explain </w:t>
      </w:r>
      <w:r>
        <w:rPr>
          <w:rFonts w:ascii="Times New Roman" w:eastAsia="Times New Roman" w:hAnsi="Times New Roman"/>
          <w:sz w:val="24"/>
          <w:szCs w:val="24"/>
        </w:rPr>
        <w:t>our</w:t>
      </w:r>
      <w:r w:rsidRPr="00A65E22">
        <w:rPr>
          <w:rFonts w:ascii="Times New Roman" w:eastAsia="Times New Roman" w:hAnsi="Times New Roman"/>
          <w:sz w:val="24"/>
          <w:szCs w:val="24"/>
        </w:rPr>
        <w:t xml:space="preserve"> decision. We </w:t>
      </w:r>
      <w:r>
        <w:rPr>
          <w:rFonts w:ascii="Times New Roman" w:eastAsia="Times New Roman" w:hAnsi="Times New Roman"/>
          <w:sz w:val="24"/>
          <w:szCs w:val="24"/>
        </w:rPr>
        <w:t xml:space="preserve">may </w:t>
      </w:r>
      <w:r w:rsidRPr="00A65E22">
        <w:rPr>
          <w:rFonts w:ascii="Times New Roman" w:eastAsia="Times New Roman" w:hAnsi="Times New Roman"/>
          <w:sz w:val="24"/>
          <w:szCs w:val="24"/>
        </w:rPr>
        <w:t xml:space="preserve">also inform the </w:t>
      </w:r>
      <w:r>
        <w:rPr>
          <w:rFonts w:ascii="Times New Roman" w:eastAsia="Times New Roman" w:hAnsi="Times New Roman"/>
          <w:sz w:val="24"/>
          <w:szCs w:val="24"/>
        </w:rPr>
        <w:t>other party, if required</w:t>
      </w:r>
      <w:r w:rsidRPr="00A65E22">
        <w:rPr>
          <w:rFonts w:ascii="Times New Roman" w:eastAsia="Times New Roman" w:hAnsi="Times New Roman"/>
          <w:sz w:val="24"/>
          <w:szCs w:val="24"/>
        </w:rPr>
        <w:t>.</w:t>
      </w:r>
      <w:bookmarkStart w:id="36" w:name="unhappy"/>
      <w:bookmarkEnd w:id="36"/>
      <w:r>
        <w:rPr>
          <w:rFonts w:ascii="Times New Roman" w:eastAsia="Times New Roman" w:hAnsi="Times New Roman"/>
          <w:sz w:val="24"/>
          <w:szCs w:val="24"/>
        </w:rPr>
        <w:br/>
      </w:r>
      <w:r>
        <w:rPr>
          <w:rFonts w:ascii="Times New Roman" w:eastAsia="Times New Roman" w:hAnsi="Times New Roman"/>
          <w:b/>
          <w:sz w:val="24"/>
          <w:szCs w:val="24"/>
        </w:rPr>
        <w:br/>
      </w:r>
      <w:r w:rsidRPr="001D7F3C">
        <w:rPr>
          <w:rFonts w:ascii="Times New Roman" w:eastAsia="Times New Roman" w:hAnsi="Times New Roman"/>
          <w:b/>
          <w:sz w:val="24"/>
          <w:szCs w:val="24"/>
        </w:rPr>
        <w:t>Respect</w:t>
      </w:r>
      <w:r>
        <w:rPr>
          <w:rFonts w:ascii="Times New Roman" w:eastAsia="Times New Roman" w:hAnsi="Times New Roman"/>
          <w:b/>
          <w:sz w:val="24"/>
          <w:szCs w:val="24"/>
        </w:rPr>
        <w:br/>
      </w:r>
    </w:p>
    <w:p w14:paraId="54BFCF5D" w14:textId="77777777" w:rsidR="005874E7" w:rsidRPr="000B70EB" w:rsidRDefault="005874E7" w:rsidP="00D35B01">
      <w:pPr>
        <w:pStyle w:val="ListParagraph"/>
        <w:numPr>
          <w:ilvl w:val="0"/>
          <w:numId w:val="21"/>
        </w:numPr>
        <w:spacing w:before="100" w:after="100"/>
        <w:contextualSpacing/>
        <w:rPr>
          <w:rFonts w:ascii="Times New Roman" w:eastAsia="Times New Roman" w:hAnsi="Times New Roman"/>
          <w:sz w:val="24"/>
          <w:szCs w:val="24"/>
        </w:rPr>
      </w:pPr>
      <w:r w:rsidRPr="00C51A68">
        <w:rPr>
          <w:rFonts w:ascii="Times New Roman" w:eastAsia="Times New Roman" w:hAnsi="Times New Roman"/>
          <w:sz w:val="24"/>
          <w:szCs w:val="24"/>
        </w:rPr>
        <w:t xml:space="preserve">We expect that all parties to a </w:t>
      </w:r>
      <w:r>
        <w:rPr>
          <w:rFonts w:ascii="Times New Roman" w:eastAsia="Times New Roman" w:hAnsi="Times New Roman"/>
          <w:sz w:val="24"/>
          <w:szCs w:val="24"/>
        </w:rPr>
        <w:t xml:space="preserve">complaint </w:t>
      </w:r>
      <w:r w:rsidRPr="00C51A68">
        <w:rPr>
          <w:rFonts w:ascii="Times New Roman" w:eastAsia="Times New Roman" w:hAnsi="Times New Roman"/>
          <w:sz w:val="24"/>
          <w:szCs w:val="24"/>
        </w:rPr>
        <w:t xml:space="preserve">will communicate with us and with each other in a professional, courteous and non-threatening manner. </w:t>
      </w:r>
      <w:r>
        <w:rPr>
          <w:rFonts w:ascii="Times New Roman" w:eastAsia="Times New Roman" w:hAnsi="Times New Roman"/>
          <w:sz w:val="24"/>
          <w:szCs w:val="24"/>
        </w:rPr>
        <w:t xml:space="preserve"> </w:t>
      </w:r>
      <w:r w:rsidRPr="00C51A68">
        <w:rPr>
          <w:rFonts w:ascii="Times New Roman" w:eastAsia="Times New Roman" w:hAnsi="Times New Roman"/>
          <w:sz w:val="24"/>
          <w:szCs w:val="24"/>
        </w:rPr>
        <w:t>We take a serious view of communications that contain offensive, rude, abusive or threatening material.</w:t>
      </w:r>
      <w:r>
        <w:rPr>
          <w:rFonts w:ascii="Times New Roman" w:eastAsia="Times New Roman" w:hAnsi="Times New Roman"/>
          <w:sz w:val="24"/>
          <w:szCs w:val="24"/>
        </w:rPr>
        <w:t xml:space="preserve"> </w:t>
      </w:r>
      <w:r w:rsidRPr="00C51A68">
        <w:rPr>
          <w:rFonts w:ascii="Times New Roman" w:eastAsia="Times New Roman" w:hAnsi="Times New Roman"/>
          <w:sz w:val="24"/>
          <w:szCs w:val="24"/>
        </w:rPr>
        <w:t xml:space="preserve"> In these cases we may take a number of steps, including:</w:t>
      </w:r>
    </w:p>
    <w:p w14:paraId="5D82F68E" w14:textId="77777777" w:rsidR="005874E7" w:rsidRPr="00A65E22" w:rsidRDefault="005874E7" w:rsidP="00D35B01">
      <w:pPr>
        <w:numPr>
          <w:ilvl w:val="0"/>
          <w:numId w:val="18"/>
        </w:numPr>
        <w:tabs>
          <w:tab w:val="left" w:pos="720"/>
        </w:tabs>
        <w:spacing w:before="100" w:after="100"/>
        <w:ind w:left="720" w:hanging="360"/>
        <w:rPr>
          <w:rFonts w:ascii="Times New Roman" w:eastAsia="Times New Roman" w:hAnsi="Times New Roman"/>
          <w:sz w:val="24"/>
          <w:szCs w:val="24"/>
        </w:rPr>
      </w:pPr>
      <w:r>
        <w:rPr>
          <w:rFonts w:ascii="Times New Roman" w:eastAsia="Times New Roman" w:hAnsi="Times New Roman"/>
          <w:sz w:val="24"/>
          <w:szCs w:val="24"/>
        </w:rPr>
        <w:t xml:space="preserve">suggesting that a </w:t>
      </w:r>
      <w:r w:rsidRPr="00A65E22">
        <w:rPr>
          <w:rFonts w:ascii="Times New Roman" w:eastAsia="Times New Roman" w:hAnsi="Times New Roman"/>
          <w:sz w:val="24"/>
          <w:szCs w:val="24"/>
        </w:rPr>
        <w:t xml:space="preserve">party </w:t>
      </w:r>
      <w:r>
        <w:rPr>
          <w:rFonts w:ascii="Times New Roman" w:eastAsia="Times New Roman" w:hAnsi="Times New Roman"/>
          <w:sz w:val="24"/>
          <w:szCs w:val="24"/>
        </w:rPr>
        <w:t xml:space="preserve">only </w:t>
      </w:r>
      <w:r w:rsidRPr="00A65E22">
        <w:rPr>
          <w:rFonts w:ascii="Times New Roman" w:eastAsia="Times New Roman" w:hAnsi="Times New Roman"/>
          <w:sz w:val="24"/>
          <w:szCs w:val="24"/>
        </w:rPr>
        <w:t xml:space="preserve">communicate </w:t>
      </w:r>
      <w:r>
        <w:rPr>
          <w:rFonts w:ascii="Times New Roman" w:eastAsia="Times New Roman" w:hAnsi="Times New Roman"/>
          <w:sz w:val="24"/>
          <w:szCs w:val="24"/>
        </w:rPr>
        <w:t xml:space="preserve">to the Commissioner </w:t>
      </w:r>
      <w:r w:rsidRPr="00A65E22">
        <w:rPr>
          <w:rFonts w:ascii="Times New Roman" w:eastAsia="Times New Roman" w:hAnsi="Times New Roman"/>
          <w:sz w:val="24"/>
          <w:szCs w:val="24"/>
        </w:rPr>
        <w:t>in writing</w:t>
      </w:r>
    </w:p>
    <w:p w14:paraId="04398247" w14:textId="77777777" w:rsidR="005874E7" w:rsidRPr="00A65E22" w:rsidRDefault="005874E7" w:rsidP="00D35B01">
      <w:pPr>
        <w:numPr>
          <w:ilvl w:val="0"/>
          <w:numId w:val="18"/>
        </w:numPr>
        <w:tabs>
          <w:tab w:val="left" w:pos="720"/>
        </w:tabs>
        <w:spacing w:before="100" w:after="100"/>
        <w:ind w:left="720" w:hanging="360"/>
        <w:rPr>
          <w:rFonts w:ascii="Times New Roman" w:eastAsia="Times New Roman" w:hAnsi="Times New Roman"/>
          <w:sz w:val="24"/>
          <w:szCs w:val="24"/>
        </w:rPr>
      </w:pPr>
      <w:r w:rsidRPr="00A65E22">
        <w:rPr>
          <w:rFonts w:ascii="Times New Roman" w:eastAsia="Times New Roman" w:hAnsi="Times New Roman"/>
          <w:sz w:val="24"/>
          <w:szCs w:val="24"/>
        </w:rPr>
        <w:t xml:space="preserve">editing information that we </w:t>
      </w:r>
      <w:r>
        <w:rPr>
          <w:rFonts w:ascii="Times New Roman" w:eastAsia="Times New Roman" w:hAnsi="Times New Roman"/>
          <w:sz w:val="24"/>
          <w:szCs w:val="24"/>
        </w:rPr>
        <w:t xml:space="preserve">have </w:t>
      </w:r>
      <w:r w:rsidRPr="00A65E22">
        <w:rPr>
          <w:rFonts w:ascii="Times New Roman" w:eastAsia="Times New Roman" w:hAnsi="Times New Roman"/>
          <w:sz w:val="24"/>
          <w:szCs w:val="24"/>
        </w:rPr>
        <w:t>received to remove offensive or abusive comments</w:t>
      </w:r>
    </w:p>
    <w:p w14:paraId="2D47855B" w14:textId="77777777" w:rsidR="005874E7" w:rsidRPr="00A65E22" w:rsidRDefault="005874E7" w:rsidP="00D35B01">
      <w:pPr>
        <w:numPr>
          <w:ilvl w:val="0"/>
          <w:numId w:val="18"/>
        </w:numPr>
        <w:tabs>
          <w:tab w:val="left" w:pos="720"/>
        </w:tabs>
        <w:spacing w:before="100" w:after="100"/>
        <w:ind w:left="720" w:hanging="360"/>
        <w:rPr>
          <w:rFonts w:ascii="Times New Roman" w:eastAsia="Times New Roman" w:hAnsi="Times New Roman"/>
          <w:sz w:val="24"/>
          <w:szCs w:val="24"/>
        </w:rPr>
      </w:pPr>
      <w:r w:rsidRPr="00A65E22">
        <w:rPr>
          <w:rFonts w:ascii="Times New Roman" w:eastAsia="Times New Roman" w:hAnsi="Times New Roman"/>
          <w:sz w:val="24"/>
          <w:szCs w:val="24"/>
        </w:rPr>
        <w:t>not responding to communications</w:t>
      </w:r>
      <w:r>
        <w:rPr>
          <w:rFonts w:ascii="Times New Roman" w:eastAsia="Times New Roman" w:hAnsi="Times New Roman"/>
          <w:sz w:val="24"/>
          <w:szCs w:val="24"/>
        </w:rPr>
        <w:t xml:space="preserve"> that contain offensive or abusive comments</w:t>
      </w:r>
    </w:p>
    <w:p w14:paraId="2BD3CA4D" w14:textId="77777777" w:rsidR="005874E7" w:rsidRPr="00A65E22" w:rsidRDefault="005874E7" w:rsidP="00D35B01">
      <w:pPr>
        <w:numPr>
          <w:ilvl w:val="0"/>
          <w:numId w:val="18"/>
        </w:numPr>
        <w:tabs>
          <w:tab w:val="left" w:pos="720"/>
        </w:tabs>
        <w:spacing w:before="100" w:after="100"/>
        <w:ind w:left="720" w:hanging="360"/>
        <w:rPr>
          <w:rFonts w:ascii="Times New Roman" w:eastAsia="Times New Roman" w:hAnsi="Times New Roman"/>
          <w:sz w:val="24"/>
          <w:szCs w:val="24"/>
        </w:rPr>
      </w:pPr>
      <w:r w:rsidRPr="00A65E22">
        <w:rPr>
          <w:rFonts w:ascii="Times New Roman" w:eastAsia="Times New Roman" w:hAnsi="Times New Roman"/>
          <w:sz w:val="24"/>
          <w:szCs w:val="24"/>
        </w:rPr>
        <w:t xml:space="preserve">stop handling </w:t>
      </w:r>
      <w:r>
        <w:rPr>
          <w:rFonts w:ascii="Times New Roman" w:eastAsia="Times New Roman" w:hAnsi="Times New Roman"/>
          <w:sz w:val="24"/>
          <w:szCs w:val="24"/>
        </w:rPr>
        <w:t>the</w:t>
      </w:r>
      <w:r w:rsidRPr="00A65E22">
        <w:rPr>
          <w:rFonts w:ascii="Times New Roman" w:eastAsia="Times New Roman" w:hAnsi="Times New Roman"/>
          <w:sz w:val="24"/>
          <w:szCs w:val="24"/>
        </w:rPr>
        <w:t xml:space="preserve"> </w:t>
      </w:r>
      <w:r>
        <w:rPr>
          <w:rFonts w:ascii="Times New Roman" w:eastAsia="Times New Roman" w:hAnsi="Times New Roman"/>
          <w:sz w:val="24"/>
          <w:szCs w:val="24"/>
        </w:rPr>
        <w:t>complaint;</w:t>
      </w:r>
      <w:r w:rsidRPr="00A65E22">
        <w:rPr>
          <w:rFonts w:ascii="Times New Roman" w:eastAsia="Times New Roman" w:hAnsi="Times New Roman"/>
          <w:sz w:val="24"/>
          <w:szCs w:val="24"/>
        </w:rPr>
        <w:t xml:space="preserve"> or</w:t>
      </w:r>
    </w:p>
    <w:p w14:paraId="7704C86E" w14:textId="77777777" w:rsidR="005874E7" w:rsidRDefault="005874E7" w:rsidP="00D35B01">
      <w:pPr>
        <w:numPr>
          <w:ilvl w:val="0"/>
          <w:numId w:val="18"/>
        </w:numPr>
        <w:tabs>
          <w:tab w:val="left" w:pos="720"/>
        </w:tabs>
        <w:spacing w:before="100" w:after="100"/>
        <w:ind w:left="720" w:hanging="360"/>
        <w:rPr>
          <w:rFonts w:ascii="Times New Roman" w:eastAsia="Times New Roman" w:hAnsi="Times New Roman"/>
          <w:sz w:val="24"/>
          <w:szCs w:val="24"/>
        </w:rPr>
      </w:pPr>
      <w:r w:rsidRPr="00B317A4">
        <w:rPr>
          <w:rFonts w:ascii="Times New Roman" w:eastAsia="Times New Roman" w:hAnsi="Times New Roman"/>
          <w:sz w:val="24"/>
          <w:szCs w:val="24"/>
        </w:rPr>
        <w:t>report issues of concern to a higher level of management or to an external agency or regulator, the police or a law enforcement agency.</w:t>
      </w:r>
    </w:p>
    <w:p w14:paraId="0D8A29B6" w14:textId="77777777" w:rsidR="005874E7" w:rsidRPr="00685AEA" w:rsidRDefault="005874E7" w:rsidP="005874E7">
      <w:pPr>
        <w:tabs>
          <w:tab w:val="left" w:pos="720"/>
        </w:tabs>
        <w:spacing w:before="100" w:after="100"/>
        <w:ind w:left="720"/>
        <w:rPr>
          <w:rFonts w:ascii="Times New Roman" w:eastAsia="Times New Roman" w:hAnsi="Times New Roman"/>
          <w:sz w:val="24"/>
          <w:szCs w:val="24"/>
        </w:rPr>
      </w:pPr>
    </w:p>
    <w:p w14:paraId="086EE770" w14:textId="77777777" w:rsidR="005874E7" w:rsidRPr="00FC695E" w:rsidRDefault="005874E7" w:rsidP="005874E7">
      <w:pPr>
        <w:tabs>
          <w:tab w:val="left" w:pos="945"/>
        </w:tabs>
        <w:spacing w:after="0" w:line="240" w:lineRule="auto"/>
        <w:rPr>
          <w:rFonts w:ascii="Times New Roman" w:eastAsia="Times New Roman" w:hAnsi="Times New Roman"/>
          <w:b/>
          <w:color w:val="000000" w:themeColor="text1"/>
          <w:sz w:val="28"/>
        </w:rPr>
      </w:pPr>
      <w:r w:rsidRPr="00FC695E">
        <w:rPr>
          <w:rFonts w:ascii="Times New Roman" w:eastAsia="Times New Roman" w:hAnsi="Times New Roman"/>
          <w:b/>
          <w:color w:val="000000" w:themeColor="text1"/>
          <w:sz w:val="28"/>
        </w:rPr>
        <w:t>Contact details</w:t>
      </w:r>
      <w:r>
        <w:rPr>
          <w:rFonts w:ascii="Times New Roman" w:eastAsia="Times New Roman" w:hAnsi="Times New Roman"/>
          <w:b/>
          <w:color w:val="000000" w:themeColor="text1"/>
          <w:sz w:val="28"/>
        </w:rPr>
        <w:t xml:space="preserve"> and website</w:t>
      </w:r>
      <w:r w:rsidRPr="00FC695E">
        <w:rPr>
          <w:rFonts w:ascii="Times New Roman" w:eastAsia="Times New Roman" w:hAnsi="Times New Roman"/>
          <w:b/>
          <w:color w:val="000000" w:themeColor="text1"/>
          <w:sz w:val="28"/>
        </w:rPr>
        <w:t>:</w:t>
      </w:r>
    </w:p>
    <w:p w14:paraId="21B16FA2" w14:textId="77777777" w:rsidR="005874E7" w:rsidRDefault="005874E7" w:rsidP="005874E7">
      <w:pPr>
        <w:tabs>
          <w:tab w:val="left" w:pos="945"/>
        </w:tabs>
        <w:spacing w:after="120" w:line="240" w:lineRule="auto"/>
        <w:rPr>
          <w:rFonts w:ascii="Times New Roman" w:eastAsia="Times New Roman" w:hAnsi="Times New Roman"/>
          <w:sz w:val="24"/>
          <w:szCs w:val="24"/>
        </w:rPr>
      </w:pPr>
      <w:r w:rsidRPr="006F56C0">
        <w:rPr>
          <w:rFonts w:ascii="Times New Roman" w:eastAsia="Times New Roman" w:hAnsi="Times New Roman"/>
          <w:b/>
          <w:sz w:val="24"/>
          <w:szCs w:val="24"/>
        </w:rPr>
        <w:t>Email</w:t>
      </w:r>
      <w:r>
        <w:rPr>
          <w:rFonts w:ascii="Times New Roman" w:eastAsia="Times New Roman" w:hAnsi="Times New Roman"/>
          <w:sz w:val="24"/>
          <w:szCs w:val="24"/>
        </w:rPr>
        <w:t>: nwfc@environment.gov.au</w:t>
      </w:r>
    </w:p>
    <w:p w14:paraId="2F145951" w14:textId="77777777" w:rsidR="005874E7" w:rsidRPr="006F56C0" w:rsidRDefault="005874E7" w:rsidP="005874E7">
      <w:pPr>
        <w:tabs>
          <w:tab w:val="left" w:pos="945"/>
        </w:tabs>
        <w:spacing w:after="120" w:line="240" w:lineRule="auto"/>
        <w:rPr>
          <w:rFonts w:ascii="Times New Roman" w:eastAsia="Times New Roman" w:hAnsi="Times New Roman"/>
          <w:sz w:val="24"/>
          <w:szCs w:val="24"/>
        </w:rPr>
      </w:pPr>
      <w:r w:rsidRPr="006F56C0">
        <w:rPr>
          <w:rFonts w:ascii="Times New Roman" w:eastAsia="Times New Roman" w:hAnsi="Times New Roman"/>
          <w:b/>
          <w:sz w:val="24"/>
          <w:szCs w:val="24"/>
        </w:rPr>
        <w:t>T</w:t>
      </w:r>
      <w:r>
        <w:rPr>
          <w:rFonts w:ascii="Times New Roman" w:eastAsia="Times New Roman" w:hAnsi="Times New Roman"/>
          <w:b/>
          <w:sz w:val="24"/>
          <w:szCs w:val="24"/>
        </w:rPr>
        <w:t>oll free number</w:t>
      </w:r>
      <w:r w:rsidRPr="006F56C0">
        <w:rPr>
          <w:rFonts w:ascii="Times New Roman" w:eastAsia="Times New Roman" w:hAnsi="Times New Roman"/>
          <w:b/>
          <w:sz w:val="24"/>
          <w:szCs w:val="24"/>
        </w:rPr>
        <w:t xml:space="preserve">: </w:t>
      </w:r>
      <w:r>
        <w:rPr>
          <w:rFonts w:ascii="Times New Roman" w:eastAsia="Times New Roman" w:hAnsi="Times New Roman"/>
          <w:sz w:val="24"/>
          <w:szCs w:val="24"/>
        </w:rPr>
        <w:t>1</w:t>
      </w:r>
      <w:r w:rsidRPr="006F56C0">
        <w:rPr>
          <w:rFonts w:ascii="Times New Roman" w:eastAsia="Times New Roman" w:hAnsi="Times New Roman"/>
          <w:sz w:val="24"/>
          <w:szCs w:val="24"/>
        </w:rPr>
        <w:t>800 656 395</w:t>
      </w:r>
    </w:p>
    <w:p w14:paraId="3AB34C7F" w14:textId="77777777" w:rsidR="005874E7" w:rsidRDefault="005874E7" w:rsidP="005874E7">
      <w:pPr>
        <w:tabs>
          <w:tab w:val="left" w:pos="945"/>
        </w:tabs>
        <w:spacing w:after="120" w:line="240" w:lineRule="auto"/>
        <w:rPr>
          <w:rFonts w:ascii="Times New Roman" w:eastAsia="Times New Roman" w:hAnsi="Times New Roman"/>
          <w:sz w:val="24"/>
          <w:szCs w:val="24"/>
        </w:rPr>
      </w:pPr>
      <w:r w:rsidRPr="006F56C0">
        <w:rPr>
          <w:rFonts w:ascii="Times New Roman" w:eastAsia="Times New Roman" w:hAnsi="Times New Roman"/>
          <w:b/>
          <w:sz w:val="24"/>
          <w:szCs w:val="24"/>
        </w:rPr>
        <w:t>Mail</w:t>
      </w:r>
      <w:r>
        <w:rPr>
          <w:rFonts w:ascii="Times New Roman" w:eastAsia="Times New Roman" w:hAnsi="Times New Roman"/>
          <w:b/>
          <w:sz w:val="24"/>
          <w:szCs w:val="24"/>
        </w:rPr>
        <w:t xml:space="preserve">: </w:t>
      </w:r>
      <w:r>
        <w:rPr>
          <w:rFonts w:ascii="Times New Roman" w:eastAsia="Times New Roman" w:hAnsi="Times New Roman"/>
          <w:b/>
          <w:sz w:val="24"/>
          <w:szCs w:val="24"/>
        </w:rPr>
        <w:br/>
      </w:r>
      <w:r>
        <w:rPr>
          <w:rFonts w:ascii="Times New Roman" w:eastAsia="Times New Roman" w:hAnsi="Times New Roman"/>
          <w:sz w:val="24"/>
          <w:szCs w:val="24"/>
        </w:rPr>
        <w:t>Office of the National Wind Farm Commissioner</w:t>
      </w:r>
      <w:r>
        <w:rPr>
          <w:rFonts w:ascii="Times New Roman" w:eastAsia="Times New Roman" w:hAnsi="Times New Roman"/>
          <w:sz w:val="24"/>
          <w:szCs w:val="24"/>
        </w:rPr>
        <w:br/>
        <w:t>PO Box 24434</w:t>
      </w:r>
      <w:r>
        <w:rPr>
          <w:rFonts w:ascii="Times New Roman" w:eastAsia="Times New Roman" w:hAnsi="Times New Roman"/>
          <w:sz w:val="24"/>
          <w:szCs w:val="24"/>
        </w:rPr>
        <w:br/>
        <w:t>Melbourne  VIC  3001</w:t>
      </w:r>
    </w:p>
    <w:p w14:paraId="0B8A7656" w14:textId="77777777" w:rsidR="005874E7" w:rsidRPr="00685AEA" w:rsidRDefault="005874E7" w:rsidP="005874E7">
      <w:pPr>
        <w:tabs>
          <w:tab w:val="left" w:pos="945"/>
        </w:tabs>
        <w:spacing w:line="240" w:lineRule="auto"/>
        <w:rPr>
          <w:rFonts w:ascii="Times New Roman" w:eastAsia="Times New Roman" w:hAnsi="Times New Roman"/>
          <w:sz w:val="24"/>
          <w:szCs w:val="24"/>
        </w:rPr>
      </w:pPr>
      <w:r w:rsidRPr="00E21F70">
        <w:rPr>
          <w:rFonts w:ascii="Times New Roman" w:eastAsia="Times New Roman" w:hAnsi="Times New Roman"/>
          <w:b/>
          <w:sz w:val="24"/>
          <w:szCs w:val="24"/>
        </w:rPr>
        <w:t>Website:</w:t>
      </w:r>
      <w:r>
        <w:rPr>
          <w:rFonts w:ascii="Times New Roman" w:eastAsia="Times New Roman" w:hAnsi="Times New Roman"/>
          <w:sz w:val="24"/>
          <w:szCs w:val="24"/>
        </w:rPr>
        <w:t xml:space="preserve"> </w:t>
      </w:r>
      <w:hyperlink r:id="rId62" w:history="1">
        <w:r w:rsidRPr="00020A90">
          <w:rPr>
            <w:rStyle w:val="Hyperlink"/>
            <w:rFonts w:ascii="Times New Roman" w:eastAsia="Times New Roman" w:hAnsi="Times New Roman"/>
            <w:sz w:val="24"/>
            <w:szCs w:val="24"/>
          </w:rPr>
          <w:t>www.nwfc.gov.au</w:t>
        </w:r>
      </w:hyperlink>
      <w:r>
        <w:rPr>
          <w:rFonts w:ascii="Times New Roman" w:eastAsia="Times New Roman" w:hAnsi="Times New Roman"/>
          <w:sz w:val="24"/>
          <w:szCs w:val="24"/>
        </w:rPr>
        <w:br/>
        <w:t xml:space="preserve">Our website has a range of resources that may assist, including our </w:t>
      </w:r>
      <w:r w:rsidRPr="0036311E">
        <w:rPr>
          <w:rFonts w:ascii="Times New Roman" w:eastAsia="Times New Roman" w:hAnsi="Times New Roman"/>
          <w:i/>
          <w:sz w:val="24"/>
          <w:szCs w:val="24"/>
        </w:rPr>
        <w:t>Guide to Conciliation</w:t>
      </w:r>
      <w:r>
        <w:rPr>
          <w:rFonts w:ascii="Times New Roman" w:eastAsia="Times New Roman" w:hAnsi="Times New Roman"/>
          <w:sz w:val="24"/>
          <w:szCs w:val="24"/>
        </w:rPr>
        <w:t xml:space="preserve">, which can be found at </w:t>
      </w:r>
      <w:hyperlink r:id="rId63" w:history="1">
        <w:r w:rsidRPr="00020A90">
          <w:rPr>
            <w:rStyle w:val="Hyperlink"/>
            <w:rFonts w:ascii="Times New Roman" w:eastAsia="Times New Roman" w:hAnsi="Times New Roman"/>
            <w:sz w:val="24"/>
            <w:szCs w:val="24"/>
          </w:rPr>
          <w:t>https://www.nwfc.gov.au/publications/guide-conciliation-meetings</w:t>
        </w:r>
      </w:hyperlink>
      <w:r>
        <w:t>.</w:t>
      </w:r>
    </w:p>
    <w:p w14:paraId="59EA7EAF" w14:textId="77777777" w:rsidR="005874E7" w:rsidRDefault="005874E7" w:rsidP="005874E7">
      <w:pPr>
        <w:pStyle w:val="Heading1"/>
        <w:sectPr w:rsidR="005874E7" w:rsidSect="00C90C75">
          <w:headerReference w:type="even" r:id="rId64"/>
          <w:headerReference w:type="default" r:id="rId65"/>
          <w:headerReference w:type="first" r:id="rId66"/>
          <w:pgSz w:w="11906" w:h="16838" w:code="9"/>
          <w:pgMar w:top="720" w:right="720" w:bottom="720" w:left="720" w:header="425" w:footer="425" w:gutter="0"/>
          <w:cols w:space="708"/>
          <w:docGrid w:linePitch="360"/>
        </w:sectPr>
      </w:pPr>
      <w:bookmarkStart w:id="37" w:name="_Toc465253688"/>
    </w:p>
    <w:p w14:paraId="140AD751" w14:textId="77777777" w:rsidR="005874E7" w:rsidRDefault="005874E7" w:rsidP="005874E7">
      <w:pPr>
        <w:pStyle w:val="Heading1"/>
        <w:rPr>
          <w:sz w:val="24"/>
          <w:szCs w:val="24"/>
        </w:rPr>
      </w:pPr>
      <w:bookmarkStart w:id="38" w:name="_Toc511140626"/>
      <w:r>
        <w:rPr>
          <w:sz w:val="24"/>
          <w:szCs w:val="24"/>
        </w:rPr>
        <w:lastRenderedPageBreak/>
        <w:t xml:space="preserve">Appendix </w:t>
      </w:r>
      <w:bookmarkEnd w:id="37"/>
      <w:r>
        <w:rPr>
          <w:sz w:val="24"/>
          <w:szCs w:val="24"/>
        </w:rPr>
        <w:t>C</w:t>
      </w:r>
      <w:bookmarkEnd w:id="38"/>
    </w:p>
    <w:p w14:paraId="26E8C225" w14:textId="77777777" w:rsidR="00A10B97" w:rsidRPr="00A10B97" w:rsidRDefault="00A10B97" w:rsidP="00A10B97"/>
    <w:p w14:paraId="396A0924" w14:textId="77777777" w:rsidR="00E15C37" w:rsidRPr="00B22854" w:rsidRDefault="00E15C37" w:rsidP="00E15C37">
      <w:pPr>
        <w:pStyle w:val="Header"/>
        <w:jc w:val="center"/>
        <w:rPr>
          <w:rFonts w:ascii="Calibri Light" w:hAnsi="Calibri Light"/>
          <w:b/>
          <w:bCs/>
          <w:sz w:val="36"/>
          <w:szCs w:val="36"/>
          <w:lang w:val="en-GB"/>
        </w:rPr>
      </w:pPr>
      <w:r w:rsidRPr="00B22854">
        <w:rPr>
          <w:rFonts w:ascii="Calibri Light" w:hAnsi="Calibri Light"/>
          <w:b/>
          <w:noProof/>
          <w:sz w:val="36"/>
          <w:szCs w:val="36"/>
          <w:lang w:eastAsia="en-AU"/>
        </w:rPr>
        <w:drawing>
          <wp:inline distT="0" distB="0" distL="0" distR="0" wp14:anchorId="4216161A" wp14:editId="645AB351">
            <wp:extent cx="944989" cy="797592"/>
            <wp:effectExtent l="19050" t="0" r="7511" b="0"/>
            <wp:docPr id="12" name="Picture 12" descr="Crest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 good!"/>
                    <pic:cNvPicPr>
                      <a:picLocks noChangeAspect="1" noChangeArrowheads="1"/>
                    </pic:cNvPicPr>
                  </pic:nvPicPr>
                  <pic:blipFill>
                    <a:blip r:embed="rId8" cstate="print"/>
                    <a:srcRect l="6934" t="9615" r="4741"/>
                    <a:stretch>
                      <a:fillRect/>
                    </a:stretch>
                  </pic:blipFill>
                  <pic:spPr bwMode="auto">
                    <a:xfrm>
                      <a:off x="0" y="0"/>
                      <a:ext cx="944989" cy="797592"/>
                    </a:xfrm>
                    <a:prstGeom prst="rect">
                      <a:avLst/>
                    </a:prstGeom>
                    <a:noFill/>
                    <a:ln w="9525">
                      <a:noFill/>
                      <a:miter lim="800000"/>
                      <a:headEnd/>
                      <a:tailEnd/>
                    </a:ln>
                  </pic:spPr>
                </pic:pic>
              </a:graphicData>
            </a:graphic>
          </wp:inline>
        </w:drawing>
      </w:r>
    </w:p>
    <w:p w14:paraId="33ED7C93" w14:textId="77777777" w:rsidR="00E15C37" w:rsidRPr="00B22854" w:rsidRDefault="00E15C37" w:rsidP="00E15C37">
      <w:pPr>
        <w:pStyle w:val="Header"/>
        <w:jc w:val="center"/>
        <w:rPr>
          <w:rFonts w:ascii="Calibri Light" w:hAnsi="Calibri Light"/>
          <w:b/>
          <w:bCs/>
          <w:sz w:val="20"/>
          <w:lang w:val="en-GB"/>
        </w:rPr>
      </w:pPr>
    </w:p>
    <w:p w14:paraId="38D0ECB8" w14:textId="77777777" w:rsidR="00E15C37" w:rsidRPr="00B22854" w:rsidRDefault="00E15C37" w:rsidP="00E15C37">
      <w:pPr>
        <w:jc w:val="center"/>
        <w:rPr>
          <w:rFonts w:asciiTheme="minorHAnsi" w:hAnsiTheme="minorHAnsi"/>
          <w:b/>
          <w:sz w:val="32"/>
          <w:szCs w:val="32"/>
        </w:rPr>
      </w:pPr>
      <w:r w:rsidRPr="00B22854">
        <w:rPr>
          <w:rFonts w:asciiTheme="minorHAnsi" w:hAnsiTheme="minorHAnsi"/>
          <w:b/>
          <w:sz w:val="32"/>
          <w:szCs w:val="32"/>
        </w:rPr>
        <w:t>Office of the National Wind Farm Commissioner</w:t>
      </w:r>
    </w:p>
    <w:p w14:paraId="632F4F04" w14:textId="0D7E17F7" w:rsidR="00A10B97" w:rsidRDefault="00A10B97" w:rsidP="00A10B97">
      <w:pPr>
        <w:spacing w:before="100" w:after="100"/>
        <w:jc w:val="center"/>
        <w:rPr>
          <w:rFonts w:ascii="Times New Roman" w:eastAsia="Times New Roman" w:hAnsi="Times New Roman"/>
          <w:b/>
          <w:sz w:val="24"/>
        </w:rPr>
      </w:pPr>
    </w:p>
    <w:p w14:paraId="4F123A08" w14:textId="77777777" w:rsidR="00A10B97" w:rsidRDefault="00A10B97" w:rsidP="00A10B97">
      <w:pPr>
        <w:spacing w:before="100" w:after="100"/>
        <w:jc w:val="center"/>
        <w:rPr>
          <w:rFonts w:ascii="Times New Roman" w:eastAsia="Times New Roman" w:hAnsi="Times New Roman"/>
          <w:b/>
          <w:sz w:val="24"/>
        </w:rPr>
      </w:pPr>
    </w:p>
    <w:p w14:paraId="4B8B382D" w14:textId="77777777" w:rsidR="00A10B97" w:rsidRDefault="00A10B97" w:rsidP="00A10B97">
      <w:pPr>
        <w:spacing w:before="100" w:after="100"/>
        <w:jc w:val="center"/>
        <w:rPr>
          <w:rFonts w:ascii="Times New Roman" w:eastAsia="Times New Roman" w:hAnsi="Times New Roman"/>
          <w:b/>
          <w:sz w:val="24"/>
        </w:rPr>
      </w:pPr>
    </w:p>
    <w:p w14:paraId="52EE5D08" w14:textId="25E436D2" w:rsidR="00A10B97" w:rsidRDefault="00A10B97" w:rsidP="00A10B97">
      <w:pPr>
        <w:spacing w:before="100" w:after="100"/>
        <w:jc w:val="center"/>
        <w:rPr>
          <w:rFonts w:ascii="Times New Roman" w:eastAsia="Times New Roman" w:hAnsi="Times New Roman"/>
          <w:sz w:val="24"/>
        </w:rPr>
      </w:pPr>
      <w:r w:rsidRPr="00D86C92">
        <w:rPr>
          <w:rFonts w:ascii="Times New Roman" w:eastAsia="Times New Roman" w:hAnsi="Times New Roman"/>
          <w:b/>
          <w:sz w:val="24"/>
        </w:rPr>
        <w:t>INFORMAT</w:t>
      </w:r>
      <w:r>
        <w:rPr>
          <w:rFonts w:ascii="Times New Roman" w:eastAsia="Times New Roman" w:hAnsi="Times New Roman"/>
          <w:b/>
          <w:sz w:val="24"/>
        </w:rPr>
        <w:t>I</w:t>
      </w:r>
      <w:r w:rsidRPr="00D86C92">
        <w:rPr>
          <w:rFonts w:ascii="Times New Roman" w:eastAsia="Times New Roman" w:hAnsi="Times New Roman"/>
          <w:b/>
          <w:sz w:val="24"/>
        </w:rPr>
        <w:t>ON HANDLING POLICY</w:t>
      </w:r>
      <w:r w:rsidRPr="00D86C92">
        <w:rPr>
          <w:rFonts w:ascii="Times New Roman" w:eastAsia="Times New Roman" w:hAnsi="Times New Roman"/>
          <w:b/>
          <w:sz w:val="24"/>
        </w:rPr>
        <w:br/>
      </w:r>
      <w:r w:rsidR="00DB42AA" w:rsidRPr="00AD320D">
        <w:rPr>
          <w:rFonts w:ascii="Times New Roman" w:eastAsia="Times New Roman" w:hAnsi="Times New Roman"/>
          <w:sz w:val="24"/>
        </w:rPr>
        <w:t>(Version 1.</w:t>
      </w:r>
      <w:r w:rsidR="00DB42AA">
        <w:rPr>
          <w:rFonts w:ascii="Times New Roman" w:eastAsia="Times New Roman" w:hAnsi="Times New Roman"/>
          <w:sz w:val="24"/>
        </w:rPr>
        <w:t>2</w:t>
      </w:r>
      <w:r w:rsidR="00DB42AA" w:rsidRPr="00AD320D">
        <w:rPr>
          <w:rFonts w:ascii="Times New Roman" w:eastAsia="Times New Roman" w:hAnsi="Times New Roman"/>
          <w:sz w:val="24"/>
        </w:rPr>
        <w:t xml:space="preserve"> – </w:t>
      </w:r>
      <w:r w:rsidR="00DB42AA">
        <w:rPr>
          <w:rFonts w:ascii="Times New Roman" w:eastAsia="Times New Roman" w:hAnsi="Times New Roman"/>
          <w:sz w:val="24"/>
        </w:rPr>
        <w:t>23 March</w:t>
      </w:r>
      <w:r w:rsidR="00DB42AA" w:rsidRPr="00AD320D">
        <w:rPr>
          <w:rFonts w:ascii="Times New Roman" w:eastAsia="Times New Roman" w:hAnsi="Times New Roman"/>
          <w:sz w:val="24"/>
        </w:rPr>
        <w:t xml:space="preserve"> 201</w:t>
      </w:r>
      <w:r w:rsidR="00DB42AA">
        <w:rPr>
          <w:rFonts w:ascii="Times New Roman" w:eastAsia="Times New Roman" w:hAnsi="Times New Roman"/>
          <w:sz w:val="24"/>
        </w:rPr>
        <w:t>8</w:t>
      </w:r>
      <w:r w:rsidR="00DB42AA" w:rsidRPr="00AD320D">
        <w:rPr>
          <w:rFonts w:ascii="Times New Roman" w:eastAsia="Times New Roman" w:hAnsi="Times New Roman"/>
          <w:sz w:val="24"/>
        </w:rPr>
        <w:t>)</w:t>
      </w:r>
    </w:p>
    <w:p w14:paraId="1D73E2A3" w14:textId="77777777" w:rsidR="00A10B97" w:rsidRPr="00D86C92" w:rsidRDefault="00A10B97" w:rsidP="00A10B97">
      <w:pPr>
        <w:spacing w:before="100" w:after="100"/>
        <w:jc w:val="center"/>
        <w:rPr>
          <w:rFonts w:ascii="Times New Roman" w:eastAsia="Times New Roman" w:hAnsi="Times New Roman"/>
          <w:sz w:val="24"/>
        </w:rPr>
      </w:pPr>
    </w:p>
    <w:p w14:paraId="01CA3BD2" w14:textId="77777777" w:rsidR="00A10B97" w:rsidRPr="007C1419" w:rsidRDefault="00A10B97" w:rsidP="00A10B97">
      <w:pPr>
        <w:keepNext/>
        <w:keepLines/>
        <w:spacing w:before="200" w:after="0"/>
        <w:rPr>
          <w:rFonts w:ascii="Times New Roman" w:eastAsia="Times New Roman" w:hAnsi="Times New Roman"/>
          <w:b/>
          <w:sz w:val="24"/>
        </w:rPr>
      </w:pPr>
      <w:r w:rsidRPr="007C1419">
        <w:rPr>
          <w:rFonts w:ascii="Times New Roman" w:eastAsia="Times New Roman" w:hAnsi="Times New Roman"/>
          <w:b/>
          <w:sz w:val="24"/>
        </w:rPr>
        <w:t>Introduction</w:t>
      </w:r>
    </w:p>
    <w:p w14:paraId="46658808" w14:textId="77777777" w:rsidR="00A10B97" w:rsidRPr="00841BCB" w:rsidRDefault="00A10B97" w:rsidP="00A10B97">
      <w:pPr>
        <w:pStyle w:val="ListParagraph"/>
        <w:numPr>
          <w:ilvl w:val="0"/>
          <w:numId w:val="23"/>
        </w:numPr>
        <w:spacing w:before="100" w:after="100"/>
        <w:ind w:left="357"/>
        <w:contextualSpacing/>
        <w:rPr>
          <w:rFonts w:ascii="Times New Roman" w:eastAsia="Times New Roman" w:hAnsi="Times New Roman"/>
          <w:sz w:val="24"/>
        </w:rPr>
      </w:pPr>
      <w:r>
        <w:rPr>
          <w:rFonts w:ascii="Times New Roman" w:eastAsia="Times New Roman" w:hAnsi="Times New Roman"/>
          <w:sz w:val="24"/>
        </w:rPr>
        <w:t xml:space="preserve">A key role of the Office of the National Wind Farm Commissioner </w:t>
      </w:r>
      <w:r w:rsidRPr="00D86C92">
        <w:rPr>
          <w:rFonts w:ascii="Times New Roman" w:eastAsia="Times New Roman" w:hAnsi="Times New Roman"/>
          <w:sz w:val="24"/>
        </w:rPr>
        <w:t>(</w:t>
      </w:r>
      <w:r w:rsidRPr="00C12C9C">
        <w:rPr>
          <w:rFonts w:ascii="Times New Roman" w:eastAsia="Times New Roman" w:hAnsi="Times New Roman"/>
          <w:sz w:val="24"/>
        </w:rPr>
        <w:t>“the Office”</w:t>
      </w:r>
      <w:r>
        <w:rPr>
          <w:rFonts w:ascii="Times New Roman" w:eastAsia="Times New Roman" w:hAnsi="Times New Roman"/>
          <w:sz w:val="24"/>
        </w:rPr>
        <w:t xml:space="preserve"> or “we”</w:t>
      </w:r>
      <w:r w:rsidRPr="00C12C9C">
        <w:rPr>
          <w:rFonts w:ascii="Times New Roman" w:eastAsia="Times New Roman" w:hAnsi="Times New Roman"/>
          <w:sz w:val="24"/>
        </w:rPr>
        <w:t>)</w:t>
      </w:r>
      <w:r>
        <w:rPr>
          <w:rFonts w:ascii="Times New Roman" w:eastAsia="Times New Roman" w:hAnsi="Times New Roman"/>
          <w:sz w:val="24"/>
        </w:rPr>
        <w:t xml:space="preserve"> is to receive complaints from concerned residents regarding proposed or operating wind farm facilities </w:t>
      </w:r>
      <w:r w:rsidRPr="00D86C92">
        <w:rPr>
          <w:rFonts w:ascii="Times New Roman" w:eastAsia="Times New Roman" w:hAnsi="Times New Roman"/>
          <w:sz w:val="24"/>
        </w:rPr>
        <w:t>and to assist the parties to the complaint to facilitate a resolution where possible</w:t>
      </w:r>
      <w:r>
        <w:rPr>
          <w:rFonts w:ascii="Times New Roman" w:eastAsia="Times New Roman" w:hAnsi="Times New Roman"/>
          <w:sz w:val="24"/>
        </w:rPr>
        <w:t xml:space="preserve">.  Complaints are received, accepted and handled in accordance with the </w:t>
      </w:r>
      <w:r w:rsidRPr="00D86C92">
        <w:rPr>
          <w:rFonts w:ascii="Times New Roman" w:eastAsia="Times New Roman" w:hAnsi="Times New Roman"/>
          <w:sz w:val="24"/>
        </w:rPr>
        <w:t>Complaints Handling Policy</w:t>
      </w:r>
      <w:r>
        <w:rPr>
          <w:rFonts w:ascii="Times New Roman" w:eastAsia="Times New Roman" w:hAnsi="Times New Roman"/>
          <w:sz w:val="24"/>
        </w:rPr>
        <w:t xml:space="preserve"> at </w:t>
      </w:r>
      <w:hyperlink r:id="rId67" w:history="1">
        <w:r w:rsidRPr="00D16EE2">
          <w:rPr>
            <w:rStyle w:val="Hyperlink"/>
            <w:rFonts w:ascii="Times New Roman" w:eastAsia="Times New Roman" w:hAnsi="Times New Roman"/>
            <w:sz w:val="24"/>
          </w:rPr>
          <w:t>www.nwfc.gov.au</w:t>
        </w:r>
      </w:hyperlink>
      <w:r>
        <w:rPr>
          <w:rFonts w:ascii="Times New Roman" w:eastAsia="Times New Roman" w:hAnsi="Times New Roman"/>
          <w:sz w:val="24"/>
        </w:rPr>
        <w:t>.</w:t>
      </w:r>
      <w:r>
        <w:rPr>
          <w:rFonts w:ascii="Times New Roman" w:eastAsia="Times New Roman" w:hAnsi="Times New Roman"/>
          <w:sz w:val="24"/>
        </w:rPr>
        <w:br/>
      </w:r>
    </w:p>
    <w:p w14:paraId="40208336" w14:textId="77777777" w:rsidR="00A10B97" w:rsidRDefault="00A10B97" w:rsidP="00A10B97">
      <w:pPr>
        <w:pStyle w:val="ListParagraph"/>
        <w:numPr>
          <w:ilvl w:val="0"/>
          <w:numId w:val="23"/>
        </w:numPr>
        <w:spacing w:before="100" w:after="100"/>
        <w:ind w:left="357"/>
        <w:contextualSpacing/>
        <w:rPr>
          <w:rFonts w:ascii="Times New Roman" w:eastAsia="Times New Roman" w:hAnsi="Times New Roman"/>
          <w:sz w:val="24"/>
        </w:rPr>
      </w:pPr>
      <w:r>
        <w:rPr>
          <w:rFonts w:ascii="Times New Roman" w:eastAsia="Times New Roman" w:hAnsi="Times New Roman"/>
          <w:sz w:val="24"/>
        </w:rPr>
        <w:t>All information received by the Office for the purposes of handling complaints will be managed by the Office in accordance with this policy, the Commonwealth</w:t>
      </w:r>
      <w:r w:rsidRPr="00D86C92">
        <w:rPr>
          <w:rFonts w:ascii="Times New Roman" w:eastAsia="Times New Roman" w:hAnsi="Times New Roman"/>
          <w:sz w:val="24"/>
        </w:rPr>
        <w:t xml:space="preserve"> </w:t>
      </w:r>
      <w:r w:rsidRPr="00A531CE">
        <w:rPr>
          <w:rFonts w:ascii="Times New Roman" w:eastAsia="Times New Roman" w:hAnsi="Times New Roman"/>
          <w:i/>
          <w:sz w:val="24"/>
        </w:rPr>
        <w:t>Privacy Act (1988</w:t>
      </w:r>
      <w:r>
        <w:rPr>
          <w:rFonts w:ascii="Times New Roman" w:eastAsia="Times New Roman" w:hAnsi="Times New Roman"/>
          <w:sz w:val="24"/>
        </w:rPr>
        <w:t>)</w:t>
      </w:r>
      <w:r w:rsidRPr="00D86C92">
        <w:rPr>
          <w:rFonts w:ascii="Times New Roman" w:eastAsia="Times New Roman" w:hAnsi="Times New Roman"/>
          <w:sz w:val="24"/>
        </w:rPr>
        <w:t xml:space="preserve"> </w:t>
      </w:r>
      <w:r w:rsidRPr="00A531CE">
        <w:rPr>
          <w:rFonts w:ascii="Times New Roman" w:eastAsia="Times New Roman" w:hAnsi="Times New Roman"/>
          <w:sz w:val="24"/>
        </w:rPr>
        <w:t>and the Department of the Environment</w:t>
      </w:r>
      <w:r>
        <w:rPr>
          <w:rFonts w:ascii="Times New Roman" w:eastAsia="Times New Roman" w:hAnsi="Times New Roman"/>
          <w:sz w:val="24"/>
        </w:rPr>
        <w:t xml:space="preserve"> &amp; Energy</w:t>
      </w:r>
      <w:r w:rsidRPr="00A531CE">
        <w:rPr>
          <w:rFonts w:ascii="Times New Roman" w:eastAsia="Times New Roman" w:hAnsi="Times New Roman"/>
          <w:sz w:val="24"/>
        </w:rPr>
        <w:t>’s Privacy Policy</w:t>
      </w:r>
      <w:r>
        <w:rPr>
          <w:rFonts w:ascii="Times New Roman" w:eastAsia="Times New Roman" w:hAnsi="Times New Roman"/>
          <w:sz w:val="24"/>
        </w:rPr>
        <w:t xml:space="preserve"> at: </w:t>
      </w:r>
      <w:hyperlink r:id="rId68" w:history="1">
        <w:r w:rsidRPr="00D16EE2">
          <w:rPr>
            <w:rStyle w:val="Hyperlink"/>
            <w:rFonts w:ascii="Times New Roman" w:eastAsia="Times New Roman" w:hAnsi="Times New Roman"/>
            <w:sz w:val="24"/>
          </w:rPr>
          <w:t>http://www.environment.gov.au/privacy-policy</w:t>
        </w:r>
      </w:hyperlink>
      <w:r w:rsidRPr="00A531CE">
        <w:rPr>
          <w:rFonts w:ascii="Times New Roman" w:eastAsia="Times New Roman" w:hAnsi="Times New Roman"/>
          <w:sz w:val="24"/>
        </w:rPr>
        <w:t>.</w:t>
      </w:r>
    </w:p>
    <w:p w14:paraId="3A56731A" w14:textId="77777777" w:rsidR="00A10B97" w:rsidRPr="00D86C92" w:rsidRDefault="00A10B97" w:rsidP="00A10B97">
      <w:pPr>
        <w:pStyle w:val="ListParagraph"/>
        <w:numPr>
          <w:ilvl w:val="0"/>
          <w:numId w:val="0"/>
        </w:numPr>
        <w:spacing w:before="100" w:after="100"/>
        <w:ind w:left="357"/>
        <w:contextualSpacing/>
        <w:rPr>
          <w:rFonts w:ascii="Times New Roman" w:eastAsia="Times New Roman" w:hAnsi="Times New Roman"/>
          <w:sz w:val="24"/>
        </w:rPr>
      </w:pPr>
    </w:p>
    <w:p w14:paraId="218A8709" w14:textId="77777777" w:rsidR="00A10B97" w:rsidRPr="007C1419" w:rsidRDefault="00A10B97" w:rsidP="00A10B97">
      <w:pPr>
        <w:keepNext/>
        <w:keepLines/>
        <w:spacing w:before="200" w:after="0"/>
        <w:rPr>
          <w:rFonts w:ascii="Times New Roman" w:eastAsia="Times New Roman" w:hAnsi="Times New Roman"/>
          <w:b/>
          <w:sz w:val="24"/>
        </w:rPr>
      </w:pPr>
      <w:r w:rsidRPr="007C1419">
        <w:rPr>
          <w:rFonts w:ascii="Times New Roman" w:eastAsia="Times New Roman" w:hAnsi="Times New Roman"/>
          <w:b/>
          <w:sz w:val="24"/>
        </w:rPr>
        <w:t>Information we collect and store</w:t>
      </w:r>
    </w:p>
    <w:p w14:paraId="5A6B2EE6" w14:textId="77777777" w:rsidR="00A10B97" w:rsidRPr="00D86C92" w:rsidRDefault="00A10B97" w:rsidP="00A10B97">
      <w:pPr>
        <w:pStyle w:val="ListParagraph"/>
        <w:numPr>
          <w:ilvl w:val="0"/>
          <w:numId w:val="21"/>
        </w:numPr>
        <w:spacing w:before="100" w:after="100"/>
        <w:contextualSpacing/>
        <w:rPr>
          <w:rFonts w:ascii="Times New Roman" w:eastAsia="Times New Roman" w:hAnsi="Times New Roman"/>
          <w:sz w:val="24"/>
        </w:rPr>
      </w:pPr>
      <w:r w:rsidRPr="00D86C92">
        <w:rPr>
          <w:rFonts w:ascii="Times New Roman" w:eastAsia="Times New Roman" w:hAnsi="Times New Roman"/>
          <w:sz w:val="24"/>
        </w:rPr>
        <w:t>We may record relevant information provided by complainants, including:</w:t>
      </w:r>
    </w:p>
    <w:p w14:paraId="5CF30418" w14:textId="77777777" w:rsidR="00A10B97" w:rsidRPr="004E683A" w:rsidRDefault="00A10B97" w:rsidP="00A10B97">
      <w:pPr>
        <w:pStyle w:val="ListParagraph"/>
        <w:numPr>
          <w:ilvl w:val="0"/>
          <w:numId w:val="24"/>
        </w:numPr>
        <w:spacing w:before="100" w:after="100"/>
        <w:contextualSpacing/>
        <w:rPr>
          <w:rFonts w:ascii="Times New Roman" w:eastAsia="Times New Roman" w:hAnsi="Times New Roman"/>
          <w:sz w:val="24"/>
        </w:rPr>
      </w:pPr>
      <w:r w:rsidRPr="004E683A">
        <w:rPr>
          <w:rFonts w:ascii="Times New Roman" w:eastAsia="Times New Roman" w:hAnsi="Times New Roman"/>
          <w:sz w:val="24"/>
        </w:rPr>
        <w:t>their name, address and contact details</w:t>
      </w:r>
      <w:r>
        <w:rPr>
          <w:rFonts w:ascii="Times New Roman" w:eastAsia="Times New Roman" w:hAnsi="Times New Roman"/>
          <w:sz w:val="24"/>
        </w:rPr>
        <w:t xml:space="preserve"> (</w:t>
      </w:r>
      <w:r w:rsidRPr="004E683A">
        <w:rPr>
          <w:rFonts w:ascii="Times New Roman" w:eastAsia="Times New Roman" w:hAnsi="Times New Roman"/>
          <w:sz w:val="24"/>
        </w:rPr>
        <w:t>including telephone and email</w:t>
      </w:r>
      <w:r>
        <w:rPr>
          <w:rFonts w:ascii="Times New Roman" w:eastAsia="Times New Roman" w:hAnsi="Times New Roman"/>
          <w:sz w:val="24"/>
        </w:rPr>
        <w:t>)</w:t>
      </w:r>
    </w:p>
    <w:p w14:paraId="71F1050D" w14:textId="77777777" w:rsidR="00A10B97" w:rsidRPr="004E683A" w:rsidRDefault="00A10B97" w:rsidP="00A10B97">
      <w:pPr>
        <w:pStyle w:val="ListParagraph"/>
        <w:numPr>
          <w:ilvl w:val="0"/>
          <w:numId w:val="24"/>
        </w:numPr>
        <w:spacing w:before="100" w:after="100"/>
        <w:contextualSpacing/>
        <w:rPr>
          <w:rFonts w:ascii="Times New Roman" w:eastAsia="Times New Roman" w:hAnsi="Times New Roman"/>
          <w:sz w:val="24"/>
        </w:rPr>
      </w:pPr>
      <w:r w:rsidRPr="004E683A">
        <w:rPr>
          <w:rFonts w:ascii="Times New Roman" w:eastAsia="Times New Roman" w:hAnsi="Times New Roman"/>
          <w:sz w:val="24"/>
        </w:rPr>
        <w:t>complaint information and evidence provided in support of the complaint</w:t>
      </w:r>
    </w:p>
    <w:p w14:paraId="465BB8FC" w14:textId="77777777" w:rsidR="00A10B97" w:rsidRDefault="00A10B97" w:rsidP="00A10B97">
      <w:pPr>
        <w:pStyle w:val="ListParagraph"/>
        <w:numPr>
          <w:ilvl w:val="0"/>
          <w:numId w:val="24"/>
        </w:numPr>
        <w:spacing w:before="100" w:after="100"/>
        <w:contextualSpacing/>
        <w:rPr>
          <w:rFonts w:ascii="Times New Roman" w:eastAsia="Times New Roman" w:hAnsi="Times New Roman"/>
          <w:sz w:val="24"/>
        </w:rPr>
      </w:pPr>
      <w:r>
        <w:rPr>
          <w:rFonts w:ascii="Times New Roman" w:eastAsia="Times New Roman" w:hAnsi="Times New Roman"/>
          <w:sz w:val="24"/>
        </w:rPr>
        <w:t xml:space="preserve">the </w:t>
      </w:r>
      <w:r w:rsidRPr="0071749D">
        <w:rPr>
          <w:rFonts w:ascii="Times New Roman" w:eastAsia="Times New Roman" w:hAnsi="Times New Roman"/>
          <w:sz w:val="24"/>
        </w:rPr>
        <w:t xml:space="preserve">history of </w:t>
      </w:r>
      <w:r>
        <w:rPr>
          <w:rFonts w:ascii="Times New Roman" w:eastAsia="Times New Roman" w:hAnsi="Times New Roman"/>
          <w:sz w:val="24"/>
        </w:rPr>
        <w:t>the</w:t>
      </w:r>
      <w:r w:rsidRPr="0071749D">
        <w:rPr>
          <w:rFonts w:ascii="Times New Roman" w:eastAsia="Times New Roman" w:hAnsi="Times New Roman"/>
          <w:sz w:val="24"/>
        </w:rPr>
        <w:t xml:space="preserve"> complaint, including relevant correspondence</w:t>
      </w:r>
    </w:p>
    <w:p w14:paraId="47D47FBA" w14:textId="77777777" w:rsidR="00A10B97" w:rsidRDefault="00A10B97" w:rsidP="00A10B97">
      <w:pPr>
        <w:pStyle w:val="ListParagraph"/>
        <w:numPr>
          <w:ilvl w:val="0"/>
          <w:numId w:val="24"/>
        </w:numPr>
        <w:spacing w:before="100" w:after="100"/>
        <w:contextualSpacing/>
        <w:rPr>
          <w:rFonts w:ascii="Times New Roman" w:eastAsia="Times New Roman" w:hAnsi="Times New Roman"/>
          <w:sz w:val="24"/>
        </w:rPr>
      </w:pPr>
      <w:r w:rsidRPr="002D58A0">
        <w:rPr>
          <w:rFonts w:ascii="Times New Roman" w:eastAsia="Times New Roman" w:hAnsi="Times New Roman"/>
          <w:sz w:val="24"/>
        </w:rPr>
        <w:t xml:space="preserve">the outcome </w:t>
      </w:r>
      <w:r>
        <w:rPr>
          <w:rFonts w:ascii="Times New Roman" w:eastAsia="Times New Roman" w:hAnsi="Times New Roman"/>
          <w:sz w:val="24"/>
        </w:rPr>
        <w:t>being sought in relation</w:t>
      </w:r>
      <w:r w:rsidRPr="002D58A0">
        <w:rPr>
          <w:rFonts w:ascii="Times New Roman" w:eastAsia="Times New Roman" w:hAnsi="Times New Roman"/>
          <w:sz w:val="24"/>
        </w:rPr>
        <w:t xml:space="preserve"> to the complaint</w:t>
      </w:r>
    </w:p>
    <w:p w14:paraId="3E34D6CA" w14:textId="77777777" w:rsidR="00A10B97" w:rsidRDefault="00A10B97" w:rsidP="00A10B97">
      <w:pPr>
        <w:pStyle w:val="ListParagraph"/>
        <w:numPr>
          <w:ilvl w:val="0"/>
          <w:numId w:val="24"/>
        </w:numPr>
        <w:spacing w:before="100" w:after="100"/>
        <w:contextualSpacing/>
        <w:rPr>
          <w:rFonts w:ascii="Times New Roman" w:eastAsia="Times New Roman" w:hAnsi="Times New Roman"/>
          <w:sz w:val="24"/>
        </w:rPr>
      </w:pPr>
      <w:r w:rsidRPr="0071749D">
        <w:rPr>
          <w:rFonts w:ascii="Times New Roman" w:eastAsia="Times New Roman" w:hAnsi="Times New Roman"/>
          <w:sz w:val="24"/>
        </w:rPr>
        <w:t>other information provided</w:t>
      </w:r>
      <w:r>
        <w:rPr>
          <w:rFonts w:ascii="Times New Roman" w:eastAsia="Times New Roman" w:hAnsi="Times New Roman"/>
          <w:sz w:val="24"/>
        </w:rPr>
        <w:t xml:space="preserve"> by the parties in relation to the complaint</w:t>
      </w:r>
      <w:r w:rsidRPr="0071749D">
        <w:rPr>
          <w:rFonts w:ascii="Times New Roman" w:eastAsia="Times New Roman" w:hAnsi="Times New Roman"/>
          <w:sz w:val="24"/>
        </w:rPr>
        <w:t>.</w:t>
      </w:r>
    </w:p>
    <w:p w14:paraId="0C20E385" w14:textId="77777777" w:rsidR="00A10B97" w:rsidRDefault="00A10B97" w:rsidP="00A10B97">
      <w:pPr>
        <w:pStyle w:val="ListParagraph"/>
        <w:numPr>
          <w:ilvl w:val="0"/>
          <w:numId w:val="0"/>
        </w:numPr>
        <w:spacing w:before="100" w:after="100"/>
        <w:ind w:left="357"/>
        <w:contextualSpacing/>
        <w:rPr>
          <w:rFonts w:ascii="Times New Roman" w:eastAsia="Times New Roman" w:hAnsi="Times New Roman"/>
          <w:sz w:val="24"/>
        </w:rPr>
      </w:pPr>
    </w:p>
    <w:p w14:paraId="64C51A83" w14:textId="77777777" w:rsidR="00A10B97" w:rsidRDefault="00A10B97" w:rsidP="00A10B97">
      <w:pPr>
        <w:pStyle w:val="ListParagraph"/>
        <w:numPr>
          <w:ilvl w:val="0"/>
          <w:numId w:val="23"/>
        </w:numPr>
        <w:spacing w:before="100" w:after="100"/>
        <w:ind w:left="357"/>
        <w:contextualSpacing/>
        <w:rPr>
          <w:rFonts w:ascii="Times New Roman" w:eastAsia="Times New Roman" w:hAnsi="Times New Roman"/>
          <w:sz w:val="24"/>
        </w:rPr>
      </w:pPr>
      <w:r w:rsidRPr="0071749D">
        <w:rPr>
          <w:rFonts w:ascii="Times New Roman" w:eastAsia="Times New Roman" w:hAnsi="Times New Roman"/>
          <w:sz w:val="24"/>
        </w:rPr>
        <w:t xml:space="preserve">For each enquiry or complaint </w:t>
      </w:r>
      <w:r>
        <w:rPr>
          <w:rFonts w:ascii="Times New Roman" w:eastAsia="Times New Roman" w:hAnsi="Times New Roman"/>
          <w:sz w:val="24"/>
        </w:rPr>
        <w:t>that we deal with, we may</w:t>
      </w:r>
      <w:r w:rsidRPr="0071749D">
        <w:rPr>
          <w:rFonts w:ascii="Times New Roman" w:eastAsia="Times New Roman" w:hAnsi="Times New Roman"/>
          <w:sz w:val="24"/>
        </w:rPr>
        <w:t xml:space="preserve"> keep a record of:</w:t>
      </w:r>
    </w:p>
    <w:p w14:paraId="78971271" w14:textId="77777777" w:rsidR="00A10B97" w:rsidRDefault="00A10B97" w:rsidP="00A10B97">
      <w:pPr>
        <w:pStyle w:val="ListParagraph"/>
        <w:numPr>
          <w:ilvl w:val="0"/>
          <w:numId w:val="24"/>
        </w:numPr>
        <w:spacing w:before="100" w:after="100"/>
        <w:contextualSpacing/>
        <w:rPr>
          <w:rFonts w:ascii="Times New Roman" w:eastAsia="Times New Roman" w:hAnsi="Times New Roman"/>
          <w:sz w:val="24"/>
        </w:rPr>
      </w:pPr>
      <w:r w:rsidRPr="0071749D">
        <w:rPr>
          <w:rFonts w:ascii="Times New Roman" w:eastAsia="Times New Roman" w:hAnsi="Times New Roman"/>
          <w:sz w:val="24"/>
        </w:rPr>
        <w:t>our contact with the resident and the other part</w:t>
      </w:r>
      <w:r>
        <w:rPr>
          <w:rFonts w:ascii="Times New Roman" w:eastAsia="Times New Roman" w:hAnsi="Times New Roman"/>
          <w:sz w:val="24"/>
        </w:rPr>
        <w:t>ies to the complaint</w:t>
      </w:r>
      <w:r w:rsidRPr="0071749D">
        <w:rPr>
          <w:rFonts w:ascii="Times New Roman" w:eastAsia="Times New Roman" w:hAnsi="Times New Roman"/>
          <w:sz w:val="24"/>
        </w:rPr>
        <w:t> </w:t>
      </w:r>
    </w:p>
    <w:p w14:paraId="56AB66BF" w14:textId="77777777" w:rsidR="00A10B97" w:rsidRDefault="00A10B97" w:rsidP="00A10B97">
      <w:pPr>
        <w:pStyle w:val="ListParagraph"/>
        <w:numPr>
          <w:ilvl w:val="0"/>
          <w:numId w:val="24"/>
        </w:numPr>
        <w:spacing w:before="100" w:after="100"/>
        <w:contextualSpacing/>
        <w:rPr>
          <w:rFonts w:ascii="Times New Roman" w:eastAsia="Times New Roman" w:hAnsi="Times New Roman"/>
          <w:sz w:val="24"/>
        </w:rPr>
      </w:pPr>
      <w:r w:rsidRPr="0071749D">
        <w:rPr>
          <w:rFonts w:ascii="Times New Roman" w:eastAsia="Times New Roman" w:hAnsi="Times New Roman"/>
          <w:sz w:val="24"/>
        </w:rPr>
        <w:t xml:space="preserve">any verbal or written authority given for another person to </w:t>
      </w:r>
      <w:r>
        <w:rPr>
          <w:rFonts w:ascii="Times New Roman" w:eastAsia="Times New Roman" w:hAnsi="Times New Roman"/>
          <w:sz w:val="24"/>
        </w:rPr>
        <w:t xml:space="preserve">act as a nominee </w:t>
      </w:r>
      <w:r w:rsidRPr="0071749D">
        <w:rPr>
          <w:rFonts w:ascii="Times New Roman" w:eastAsia="Times New Roman" w:hAnsi="Times New Roman"/>
          <w:sz w:val="24"/>
        </w:rPr>
        <w:t>on behalf of the resident</w:t>
      </w:r>
    </w:p>
    <w:p w14:paraId="0891843B" w14:textId="77777777" w:rsidR="00A10B97" w:rsidRDefault="00A10B97" w:rsidP="00A10B97">
      <w:pPr>
        <w:pStyle w:val="ListParagraph"/>
        <w:numPr>
          <w:ilvl w:val="0"/>
          <w:numId w:val="24"/>
        </w:numPr>
        <w:spacing w:before="100" w:after="100"/>
        <w:contextualSpacing/>
        <w:rPr>
          <w:rFonts w:ascii="Times New Roman" w:eastAsia="Times New Roman" w:hAnsi="Times New Roman"/>
          <w:sz w:val="24"/>
        </w:rPr>
      </w:pPr>
      <w:r w:rsidRPr="0071749D">
        <w:rPr>
          <w:rFonts w:ascii="Times New Roman" w:eastAsia="Times New Roman" w:hAnsi="Times New Roman"/>
          <w:sz w:val="24"/>
        </w:rPr>
        <w:t>correspondence we have received and sent</w:t>
      </w:r>
    </w:p>
    <w:p w14:paraId="518A92EA" w14:textId="77777777" w:rsidR="00A10B97" w:rsidRDefault="00A10B97" w:rsidP="00A10B97">
      <w:pPr>
        <w:pStyle w:val="ListParagraph"/>
        <w:numPr>
          <w:ilvl w:val="0"/>
          <w:numId w:val="24"/>
        </w:numPr>
        <w:spacing w:before="100" w:after="100"/>
        <w:contextualSpacing/>
        <w:rPr>
          <w:rFonts w:ascii="Times New Roman" w:eastAsia="Times New Roman" w:hAnsi="Times New Roman"/>
          <w:sz w:val="24"/>
        </w:rPr>
      </w:pPr>
      <w:r w:rsidRPr="0071749D">
        <w:rPr>
          <w:rFonts w:ascii="Times New Roman" w:eastAsia="Times New Roman" w:hAnsi="Times New Roman"/>
          <w:sz w:val="24"/>
        </w:rPr>
        <w:t>information received from the resident and the other parties</w:t>
      </w:r>
    </w:p>
    <w:p w14:paraId="4C32FFC9" w14:textId="77777777" w:rsidR="00A10B97" w:rsidRDefault="00A10B97" w:rsidP="00A10B97">
      <w:pPr>
        <w:pStyle w:val="ListParagraph"/>
        <w:numPr>
          <w:ilvl w:val="0"/>
          <w:numId w:val="24"/>
        </w:numPr>
        <w:spacing w:before="100" w:after="100"/>
        <w:contextualSpacing/>
        <w:rPr>
          <w:rFonts w:ascii="Times New Roman" w:eastAsia="Times New Roman" w:hAnsi="Times New Roman"/>
          <w:sz w:val="24"/>
        </w:rPr>
      </w:pPr>
      <w:r w:rsidRPr="0071749D">
        <w:rPr>
          <w:rFonts w:ascii="Times New Roman" w:eastAsia="Times New Roman" w:hAnsi="Times New Roman"/>
          <w:sz w:val="24"/>
        </w:rPr>
        <w:t>issues raised and information discussed, both internally and externally</w:t>
      </w:r>
      <w:r>
        <w:rPr>
          <w:rFonts w:ascii="Times New Roman" w:eastAsia="Times New Roman" w:hAnsi="Times New Roman"/>
          <w:sz w:val="24"/>
        </w:rPr>
        <w:t>.</w:t>
      </w:r>
    </w:p>
    <w:p w14:paraId="5B8BA79F" w14:textId="77777777" w:rsidR="00A10B97" w:rsidRDefault="00A10B97" w:rsidP="00A10B97">
      <w:pPr>
        <w:pStyle w:val="ListParagraph"/>
        <w:numPr>
          <w:ilvl w:val="0"/>
          <w:numId w:val="0"/>
        </w:numPr>
        <w:spacing w:before="100" w:after="100"/>
        <w:ind w:left="717"/>
        <w:contextualSpacing/>
        <w:rPr>
          <w:rFonts w:ascii="Times New Roman" w:eastAsia="Times New Roman" w:hAnsi="Times New Roman"/>
          <w:sz w:val="24"/>
        </w:rPr>
      </w:pPr>
    </w:p>
    <w:p w14:paraId="17AA644B" w14:textId="77777777" w:rsidR="00A10B97" w:rsidRPr="008A18F3" w:rsidRDefault="00A10B97" w:rsidP="00A10B97">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lastRenderedPageBreak/>
        <w:t>W</w:t>
      </w:r>
      <w:r w:rsidRPr="00CD721F">
        <w:rPr>
          <w:rFonts w:ascii="Times New Roman" w:eastAsia="Times New Roman" w:hAnsi="Times New Roman"/>
          <w:sz w:val="24"/>
        </w:rPr>
        <w:t>e will make every effort to</w:t>
      </w:r>
      <w:r>
        <w:rPr>
          <w:rFonts w:ascii="Times New Roman" w:eastAsia="Times New Roman" w:hAnsi="Times New Roman"/>
          <w:sz w:val="24"/>
        </w:rPr>
        <w:t xml:space="preserve"> protect this information </w:t>
      </w:r>
      <w:r w:rsidRPr="00CD721F">
        <w:rPr>
          <w:rFonts w:ascii="Times New Roman" w:eastAsia="Times New Roman" w:hAnsi="Times New Roman"/>
          <w:sz w:val="24"/>
        </w:rPr>
        <w:t>from unauthorised disclosure</w:t>
      </w:r>
      <w:r>
        <w:rPr>
          <w:rFonts w:ascii="Times New Roman" w:eastAsia="Times New Roman" w:hAnsi="Times New Roman"/>
          <w:sz w:val="24"/>
        </w:rPr>
        <w:t xml:space="preserve">. </w:t>
      </w:r>
      <w:r w:rsidRPr="008A18F3">
        <w:rPr>
          <w:rFonts w:ascii="Times New Roman" w:eastAsia="Times New Roman" w:hAnsi="Times New Roman"/>
          <w:sz w:val="24"/>
        </w:rPr>
        <w:t xml:space="preserve">We </w:t>
      </w:r>
      <w:r>
        <w:rPr>
          <w:rFonts w:ascii="Times New Roman" w:eastAsia="Times New Roman" w:hAnsi="Times New Roman"/>
          <w:sz w:val="24"/>
        </w:rPr>
        <w:t xml:space="preserve">record </w:t>
      </w:r>
      <w:r w:rsidRPr="008A18F3">
        <w:rPr>
          <w:rFonts w:ascii="Times New Roman" w:eastAsia="Times New Roman" w:hAnsi="Times New Roman"/>
          <w:sz w:val="24"/>
        </w:rPr>
        <w:t xml:space="preserve">information, in electronic form, in a secure Complaint Management System provided by the Department of the Environment </w:t>
      </w:r>
      <w:r>
        <w:rPr>
          <w:rFonts w:ascii="Times New Roman" w:eastAsia="Times New Roman" w:hAnsi="Times New Roman"/>
          <w:sz w:val="24"/>
        </w:rPr>
        <w:t xml:space="preserve">&amp; Energy </w:t>
      </w:r>
      <w:r w:rsidRPr="008A18F3">
        <w:rPr>
          <w:rFonts w:ascii="Times New Roman" w:eastAsia="Times New Roman" w:hAnsi="Times New Roman"/>
          <w:sz w:val="24"/>
        </w:rPr>
        <w:t>and may also keep hard copies of documents. </w:t>
      </w:r>
    </w:p>
    <w:p w14:paraId="7ED64970" w14:textId="77777777" w:rsidR="00A10B97" w:rsidRDefault="00A10B97" w:rsidP="00A10B97">
      <w:pPr>
        <w:keepNext/>
        <w:keepLines/>
        <w:spacing w:before="200" w:after="0"/>
        <w:contextualSpacing/>
        <w:rPr>
          <w:rFonts w:ascii="Times New Roman" w:eastAsia="Times New Roman" w:hAnsi="Times New Roman"/>
          <w:b/>
          <w:sz w:val="24"/>
        </w:rPr>
      </w:pPr>
    </w:p>
    <w:p w14:paraId="7DCC56BA" w14:textId="77777777" w:rsidR="00A10B97" w:rsidRPr="008A18F3" w:rsidRDefault="00A10B97" w:rsidP="00A10B97">
      <w:pPr>
        <w:keepNext/>
        <w:keepLines/>
        <w:spacing w:before="200" w:after="0"/>
        <w:contextualSpacing/>
        <w:rPr>
          <w:rFonts w:ascii="Times New Roman" w:eastAsia="Times New Roman" w:hAnsi="Times New Roman"/>
          <w:b/>
          <w:sz w:val="24"/>
        </w:rPr>
      </w:pPr>
      <w:r w:rsidRPr="008A18F3">
        <w:rPr>
          <w:rFonts w:ascii="Times New Roman" w:eastAsia="Times New Roman" w:hAnsi="Times New Roman"/>
          <w:b/>
          <w:sz w:val="24"/>
        </w:rPr>
        <w:t>How we will disclose information</w:t>
      </w:r>
    </w:p>
    <w:p w14:paraId="23282651" w14:textId="77777777" w:rsidR="00A10B97" w:rsidRPr="00D86C92" w:rsidRDefault="00A10B97" w:rsidP="00A10B97">
      <w:pPr>
        <w:pStyle w:val="ListParagraph"/>
        <w:numPr>
          <w:ilvl w:val="0"/>
          <w:numId w:val="21"/>
        </w:numPr>
        <w:spacing w:before="100" w:after="100"/>
        <w:contextualSpacing/>
        <w:rPr>
          <w:rFonts w:ascii="Times New Roman" w:eastAsia="Times New Roman" w:hAnsi="Times New Roman"/>
          <w:sz w:val="24"/>
        </w:rPr>
      </w:pPr>
      <w:r w:rsidRPr="00D86C92">
        <w:rPr>
          <w:rFonts w:ascii="Times New Roman" w:eastAsia="Times New Roman" w:hAnsi="Times New Roman"/>
          <w:sz w:val="24"/>
        </w:rPr>
        <w:t xml:space="preserve">We may share information provided to us and other information relating to complaints with a range of third parties. Reasons and examples include: </w:t>
      </w:r>
    </w:p>
    <w:p w14:paraId="5652B7EF" w14:textId="77777777" w:rsidR="00A10B97" w:rsidRPr="00D86C92" w:rsidRDefault="00A10B97" w:rsidP="00A10B97">
      <w:pPr>
        <w:pStyle w:val="ListParagraph"/>
        <w:numPr>
          <w:ilvl w:val="0"/>
          <w:numId w:val="0"/>
        </w:numPr>
        <w:spacing w:before="100" w:after="100"/>
        <w:ind w:left="360"/>
        <w:contextualSpacing/>
        <w:rPr>
          <w:rFonts w:ascii="Times New Roman" w:eastAsia="Times New Roman" w:hAnsi="Times New Roman"/>
          <w:sz w:val="24"/>
        </w:rPr>
      </w:pPr>
    </w:p>
    <w:p w14:paraId="3E6722BE" w14:textId="77777777" w:rsidR="00A10B97" w:rsidRDefault="00A10B97" w:rsidP="00A10B97">
      <w:pPr>
        <w:pStyle w:val="ListParagraph"/>
        <w:numPr>
          <w:ilvl w:val="0"/>
          <w:numId w:val="25"/>
        </w:numPr>
        <w:spacing w:before="100" w:after="100"/>
        <w:ind w:left="720"/>
        <w:contextualSpacing/>
        <w:rPr>
          <w:rFonts w:ascii="Times New Roman" w:eastAsia="Times New Roman" w:hAnsi="Times New Roman"/>
          <w:sz w:val="24"/>
        </w:rPr>
      </w:pPr>
      <w:r w:rsidRPr="00D86C92">
        <w:rPr>
          <w:rFonts w:ascii="Times New Roman" w:eastAsia="Times New Roman" w:hAnsi="Times New Roman"/>
          <w:sz w:val="24"/>
        </w:rPr>
        <w:t>Information may be shared with another party to a complaint in order to give them an opportunity to respond to the information where, in our view, the</w:t>
      </w:r>
      <w:r>
        <w:rPr>
          <w:rFonts w:ascii="Times New Roman" w:eastAsia="Times New Roman" w:hAnsi="Times New Roman"/>
          <w:sz w:val="24"/>
        </w:rPr>
        <w:t xml:space="preserve"> sharing of</w:t>
      </w:r>
      <w:r w:rsidRPr="00D86C92">
        <w:rPr>
          <w:rFonts w:ascii="Times New Roman" w:eastAsia="Times New Roman" w:hAnsi="Times New Roman"/>
          <w:sz w:val="24"/>
        </w:rPr>
        <w:t xml:space="preserve"> information will help in the resolution of the complaint. As part of lodging a complaint, complainants will need to give consent to our discussing the complaint and sharing the information they provide with other parties relevant to the complaint. We may also ask the other party to contact you directly to engage in a discussion or convene a meeting with you to allow the other party to better understand the issues and/or directly resolve the complaint.</w:t>
      </w:r>
      <w:r>
        <w:rPr>
          <w:rFonts w:ascii="Times New Roman" w:eastAsia="Times New Roman" w:hAnsi="Times New Roman"/>
          <w:sz w:val="24"/>
        </w:rPr>
        <w:br/>
      </w:r>
    </w:p>
    <w:p w14:paraId="15ACA17A" w14:textId="77777777" w:rsidR="00A10B97" w:rsidRPr="00A531CE" w:rsidRDefault="00A10B97" w:rsidP="00A10B97">
      <w:pPr>
        <w:pStyle w:val="ListParagraph"/>
        <w:numPr>
          <w:ilvl w:val="0"/>
          <w:numId w:val="25"/>
        </w:numPr>
        <w:spacing w:before="100" w:after="100"/>
        <w:ind w:left="720"/>
        <w:contextualSpacing/>
        <w:rPr>
          <w:rFonts w:ascii="Times New Roman" w:eastAsia="Times New Roman" w:hAnsi="Times New Roman"/>
          <w:sz w:val="24"/>
        </w:rPr>
      </w:pPr>
      <w:r w:rsidRPr="00A531CE">
        <w:rPr>
          <w:rFonts w:ascii="Times New Roman" w:eastAsia="Times New Roman" w:hAnsi="Times New Roman"/>
          <w:sz w:val="24"/>
        </w:rPr>
        <w:t xml:space="preserve">We may also provide information to government agencies where the complaint is best handled by referral to a State or Local Government department or agency in accordance with our Complaints Handling Policy. </w:t>
      </w:r>
    </w:p>
    <w:p w14:paraId="1ABB7F9E" w14:textId="77777777" w:rsidR="00A10B97" w:rsidRPr="00D35DE6" w:rsidRDefault="00A10B97" w:rsidP="00A10B97">
      <w:pPr>
        <w:pStyle w:val="ListParagraph"/>
        <w:numPr>
          <w:ilvl w:val="0"/>
          <w:numId w:val="0"/>
        </w:numPr>
        <w:spacing w:before="100" w:after="100"/>
        <w:ind w:left="720"/>
        <w:contextualSpacing/>
        <w:rPr>
          <w:rFonts w:ascii="Times New Roman" w:eastAsia="Times New Roman" w:hAnsi="Times New Roman"/>
          <w:sz w:val="24"/>
        </w:rPr>
      </w:pPr>
    </w:p>
    <w:p w14:paraId="261B9004" w14:textId="77777777" w:rsidR="00A10B97" w:rsidRPr="00D86C92" w:rsidRDefault="00A10B97" w:rsidP="00A10B97">
      <w:pPr>
        <w:pStyle w:val="ListParagraph"/>
        <w:numPr>
          <w:ilvl w:val="0"/>
          <w:numId w:val="25"/>
        </w:numPr>
        <w:spacing w:before="100" w:after="100"/>
        <w:ind w:left="720"/>
        <w:contextualSpacing/>
        <w:rPr>
          <w:rFonts w:ascii="Times New Roman" w:eastAsia="Times New Roman" w:hAnsi="Times New Roman"/>
          <w:sz w:val="24"/>
        </w:rPr>
      </w:pPr>
      <w:r w:rsidRPr="00D86C92">
        <w:rPr>
          <w:rFonts w:ascii="Times New Roman" w:eastAsia="Times New Roman" w:hAnsi="Times New Roman"/>
          <w:sz w:val="24"/>
        </w:rPr>
        <w:t xml:space="preserve">We may also provide some complaint and enquiry information to other organisations where we need to report issues to an external agency or regulator, the police or a law enforcement agency. We will not necessarily ask for permission to share information in these circumstances. </w:t>
      </w:r>
    </w:p>
    <w:p w14:paraId="0A70A51A" w14:textId="77777777" w:rsidR="00A10B97" w:rsidRPr="00D86C92" w:rsidRDefault="00A10B97" w:rsidP="00A10B97">
      <w:pPr>
        <w:pStyle w:val="ListParagraph"/>
        <w:numPr>
          <w:ilvl w:val="0"/>
          <w:numId w:val="0"/>
        </w:numPr>
        <w:spacing w:before="100" w:after="100"/>
        <w:ind w:left="360"/>
        <w:contextualSpacing/>
        <w:rPr>
          <w:rFonts w:ascii="Times New Roman" w:eastAsia="Times New Roman" w:hAnsi="Times New Roman"/>
          <w:sz w:val="24"/>
        </w:rPr>
      </w:pPr>
    </w:p>
    <w:p w14:paraId="1E7A7A0A" w14:textId="77777777" w:rsidR="00A10B97" w:rsidRDefault="00A10B97" w:rsidP="00A10B97">
      <w:pPr>
        <w:pStyle w:val="ListParagraph"/>
        <w:numPr>
          <w:ilvl w:val="0"/>
          <w:numId w:val="21"/>
        </w:numPr>
        <w:spacing w:before="100" w:after="100"/>
        <w:contextualSpacing/>
        <w:rPr>
          <w:rFonts w:ascii="Times New Roman" w:eastAsia="Times New Roman" w:hAnsi="Times New Roman"/>
          <w:sz w:val="24"/>
        </w:rPr>
      </w:pPr>
      <w:r w:rsidRPr="00D86C92">
        <w:rPr>
          <w:rFonts w:ascii="Times New Roman" w:eastAsia="Times New Roman" w:hAnsi="Times New Roman"/>
          <w:sz w:val="24"/>
        </w:rPr>
        <w:t xml:space="preserve">If we need to </w:t>
      </w:r>
      <w:r>
        <w:rPr>
          <w:rFonts w:ascii="Times New Roman" w:eastAsia="Times New Roman" w:hAnsi="Times New Roman"/>
          <w:sz w:val="24"/>
        </w:rPr>
        <w:t xml:space="preserve">disclose </w:t>
      </w:r>
      <w:r w:rsidRPr="00D86C92">
        <w:rPr>
          <w:rFonts w:ascii="Times New Roman" w:eastAsia="Times New Roman" w:hAnsi="Times New Roman"/>
          <w:sz w:val="24"/>
        </w:rPr>
        <w:t>personal information with a third party in a way that is not contemplated by the</w:t>
      </w:r>
      <w:r>
        <w:rPr>
          <w:rFonts w:ascii="Times New Roman" w:eastAsia="Times New Roman" w:hAnsi="Times New Roman"/>
          <w:sz w:val="24"/>
        </w:rPr>
        <w:t xml:space="preserve"> Commonwealth</w:t>
      </w:r>
      <w:r w:rsidRPr="00D86C92">
        <w:rPr>
          <w:rFonts w:ascii="Times New Roman" w:eastAsia="Times New Roman" w:hAnsi="Times New Roman"/>
          <w:sz w:val="24"/>
        </w:rPr>
        <w:t xml:space="preserve"> </w:t>
      </w:r>
      <w:r w:rsidRPr="00A531CE">
        <w:rPr>
          <w:rFonts w:ascii="Times New Roman" w:eastAsia="Times New Roman" w:hAnsi="Times New Roman"/>
          <w:i/>
          <w:sz w:val="24"/>
        </w:rPr>
        <w:t>Privacy Act (1988</w:t>
      </w:r>
      <w:r>
        <w:rPr>
          <w:rFonts w:ascii="Times New Roman" w:eastAsia="Times New Roman" w:hAnsi="Times New Roman"/>
          <w:sz w:val="24"/>
        </w:rPr>
        <w:t>)</w:t>
      </w:r>
      <w:r w:rsidRPr="00D86C92">
        <w:rPr>
          <w:rFonts w:ascii="Times New Roman" w:eastAsia="Times New Roman" w:hAnsi="Times New Roman"/>
          <w:sz w:val="24"/>
        </w:rPr>
        <w:t xml:space="preserve">, our Complaints Handling Policy or by this policy, we will </w:t>
      </w:r>
      <w:r>
        <w:rPr>
          <w:rFonts w:ascii="Times New Roman" w:eastAsia="Times New Roman" w:hAnsi="Times New Roman"/>
          <w:sz w:val="24"/>
        </w:rPr>
        <w:t xml:space="preserve">seek </w:t>
      </w:r>
      <w:r w:rsidRPr="00D86C92">
        <w:rPr>
          <w:rFonts w:ascii="Times New Roman" w:eastAsia="Times New Roman" w:hAnsi="Times New Roman"/>
          <w:sz w:val="24"/>
        </w:rPr>
        <w:t xml:space="preserve">your consent </w:t>
      </w:r>
      <w:r>
        <w:rPr>
          <w:rFonts w:ascii="Times New Roman" w:eastAsia="Times New Roman" w:hAnsi="Times New Roman"/>
          <w:sz w:val="24"/>
        </w:rPr>
        <w:t>prior to sharing the information.</w:t>
      </w:r>
      <w:r w:rsidRPr="00D86C92">
        <w:rPr>
          <w:rFonts w:ascii="Times New Roman" w:eastAsia="Times New Roman" w:hAnsi="Times New Roman"/>
          <w:sz w:val="24"/>
        </w:rPr>
        <w:t xml:space="preserve"> </w:t>
      </w:r>
    </w:p>
    <w:p w14:paraId="5BA88FD2" w14:textId="77777777" w:rsidR="00A10B97" w:rsidRDefault="00A10B97" w:rsidP="00A10B97">
      <w:pPr>
        <w:pStyle w:val="ListParagraph"/>
        <w:numPr>
          <w:ilvl w:val="0"/>
          <w:numId w:val="0"/>
        </w:numPr>
        <w:spacing w:before="100" w:after="100"/>
        <w:ind w:left="360"/>
        <w:contextualSpacing/>
        <w:rPr>
          <w:rFonts w:ascii="Times New Roman" w:eastAsia="Times New Roman" w:hAnsi="Times New Roman"/>
          <w:sz w:val="24"/>
        </w:rPr>
      </w:pPr>
    </w:p>
    <w:p w14:paraId="6CA26259" w14:textId="77777777" w:rsidR="00A10B97" w:rsidRPr="00D86C92" w:rsidRDefault="00A10B97" w:rsidP="00A10B97">
      <w:pPr>
        <w:pStyle w:val="ListParagraph"/>
        <w:numPr>
          <w:ilvl w:val="0"/>
          <w:numId w:val="21"/>
        </w:numPr>
        <w:spacing w:before="100" w:after="100"/>
        <w:contextualSpacing/>
        <w:rPr>
          <w:rFonts w:ascii="Times New Roman" w:eastAsia="Times New Roman" w:hAnsi="Times New Roman"/>
          <w:sz w:val="24"/>
        </w:rPr>
      </w:pPr>
      <w:r>
        <w:rPr>
          <w:rFonts w:ascii="Times New Roman" w:eastAsia="Times New Roman" w:hAnsi="Times New Roman"/>
          <w:sz w:val="24"/>
        </w:rPr>
        <w:t>Where a party has received information disclosed by the Office, the third party is required to handle and store the information consistent with any privacy laws that apply to them.</w:t>
      </w:r>
    </w:p>
    <w:p w14:paraId="2CA3E239" w14:textId="77777777" w:rsidR="00A10B97" w:rsidRPr="00D86C92" w:rsidRDefault="00A10B97" w:rsidP="00A10B97">
      <w:pPr>
        <w:pStyle w:val="ListParagraph"/>
        <w:numPr>
          <w:ilvl w:val="0"/>
          <w:numId w:val="0"/>
        </w:numPr>
        <w:spacing w:before="100" w:after="100"/>
        <w:ind w:left="360"/>
        <w:contextualSpacing/>
        <w:rPr>
          <w:rFonts w:ascii="Times New Roman" w:eastAsia="Times New Roman" w:hAnsi="Times New Roman"/>
          <w:sz w:val="24"/>
        </w:rPr>
      </w:pPr>
    </w:p>
    <w:p w14:paraId="262A8225" w14:textId="77777777" w:rsidR="00A10B97" w:rsidRPr="007C1419" w:rsidRDefault="00A10B97" w:rsidP="00A10B97">
      <w:pPr>
        <w:keepNext/>
        <w:keepLines/>
        <w:spacing w:before="200" w:after="0"/>
        <w:contextualSpacing/>
        <w:rPr>
          <w:rFonts w:ascii="Times New Roman" w:eastAsia="Times New Roman" w:hAnsi="Times New Roman"/>
          <w:b/>
          <w:sz w:val="24"/>
        </w:rPr>
      </w:pPr>
      <w:r w:rsidRPr="007C1419">
        <w:rPr>
          <w:rFonts w:ascii="Times New Roman" w:eastAsia="Times New Roman" w:hAnsi="Times New Roman"/>
          <w:b/>
          <w:sz w:val="24"/>
        </w:rPr>
        <w:t>Confidentiality</w:t>
      </w:r>
    </w:p>
    <w:p w14:paraId="47CF8C53" w14:textId="77777777" w:rsidR="00A10B97" w:rsidRPr="00D86C92" w:rsidRDefault="00A10B97" w:rsidP="00A10B97">
      <w:pPr>
        <w:pStyle w:val="ListParagraph"/>
        <w:numPr>
          <w:ilvl w:val="0"/>
          <w:numId w:val="21"/>
        </w:numPr>
        <w:spacing w:before="100" w:after="100"/>
        <w:contextualSpacing/>
        <w:rPr>
          <w:rFonts w:ascii="Times New Roman" w:eastAsia="Times New Roman" w:hAnsi="Times New Roman"/>
          <w:sz w:val="24"/>
        </w:rPr>
      </w:pPr>
      <w:r w:rsidRPr="00D86C92">
        <w:rPr>
          <w:rFonts w:ascii="Times New Roman" w:eastAsia="Times New Roman" w:hAnsi="Times New Roman"/>
          <w:sz w:val="24"/>
        </w:rPr>
        <w:t>In dealing with a complaint</w:t>
      </w:r>
      <w:r>
        <w:rPr>
          <w:rFonts w:ascii="Times New Roman" w:eastAsia="Times New Roman" w:hAnsi="Times New Roman"/>
          <w:sz w:val="24"/>
        </w:rPr>
        <w:t xml:space="preserve">, we may facilitate </w:t>
      </w:r>
      <w:r w:rsidRPr="00D86C92">
        <w:rPr>
          <w:rFonts w:ascii="Times New Roman" w:eastAsia="Times New Roman" w:hAnsi="Times New Roman"/>
          <w:sz w:val="24"/>
        </w:rPr>
        <w:t>information</w:t>
      </w:r>
      <w:r>
        <w:rPr>
          <w:rFonts w:ascii="Times New Roman" w:eastAsia="Times New Roman" w:hAnsi="Times New Roman"/>
          <w:sz w:val="24"/>
        </w:rPr>
        <w:t xml:space="preserve"> sharing</w:t>
      </w:r>
      <w:r w:rsidRPr="00D86C92">
        <w:rPr>
          <w:rFonts w:ascii="Times New Roman" w:eastAsia="Times New Roman" w:hAnsi="Times New Roman"/>
          <w:sz w:val="24"/>
        </w:rPr>
        <w:t xml:space="preserve"> between the parties</w:t>
      </w:r>
      <w:r>
        <w:rPr>
          <w:rFonts w:ascii="Times New Roman" w:eastAsia="Times New Roman" w:hAnsi="Times New Roman"/>
          <w:sz w:val="24"/>
        </w:rPr>
        <w:t xml:space="preserve"> to assist in seeking</w:t>
      </w:r>
      <w:r w:rsidRPr="00D86C92">
        <w:rPr>
          <w:rFonts w:ascii="Times New Roman" w:eastAsia="Times New Roman" w:hAnsi="Times New Roman"/>
          <w:sz w:val="24"/>
        </w:rPr>
        <w:t xml:space="preserve"> a resolution or outcome.  </w:t>
      </w:r>
    </w:p>
    <w:p w14:paraId="00471F8D" w14:textId="77777777" w:rsidR="00A10B97" w:rsidRPr="00D86C92" w:rsidRDefault="00A10B97" w:rsidP="00A10B97">
      <w:pPr>
        <w:pStyle w:val="ListParagraph"/>
        <w:numPr>
          <w:ilvl w:val="0"/>
          <w:numId w:val="0"/>
        </w:numPr>
        <w:spacing w:before="100" w:after="100"/>
        <w:ind w:left="360"/>
        <w:contextualSpacing/>
        <w:rPr>
          <w:rFonts w:ascii="Times New Roman" w:eastAsia="Times New Roman" w:hAnsi="Times New Roman"/>
          <w:sz w:val="24"/>
        </w:rPr>
      </w:pPr>
    </w:p>
    <w:p w14:paraId="43921E11" w14:textId="77777777" w:rsidR="00A10B97" w:rsidRPr="008A18F3" w:rsidRDefault="00A10B97" w:rsidP="00A10B97">
      <w:pPr>
        <w:pStyle w:val="ListParagraph"/>
        <w:numPr>
          <w:ilvl w:val="0"/>
          <w:numId w:val="21"/>
        </w:numPr>
        <w:spacing w:before="100" w:after="100"/>
        <w:contextualSpacing/>
        <w:rPr>
          <w:rFonts w:ascii="Times New Roman" w:eastAsia="Times New Roman" w:hAnsi="Times New Roman"/>
          <w:sz w:val="24"/>
        </w:rPr>
      </w:pPr>
      <w:r w:rsidRPr="00D86C92">
        <w:rPr>
          <w:rFonts w:ascii="Times New Roman" w:eastAsia="Times New Roman" w:hAnsi="Times New Roman"/>
          <w:sz w:val="24"/>
        </w:rPr>
        <w:t>Information exchanged between parties during meetings</w:t>
      </w:r>
      <w:r>
        <w:rPr>
          <w:rFonts w:ascii="Times New Roman" w:eastAsia="Times New Roman" w:hAnsi="Times New Roman"/>
          <w:sz w:val="24"/>
        </w:rPr>
        <w:t xml:space="preserve"> arranged by the Office </w:t>
      </w:r>
      <w:r w:rsidRPr="00D86C92">
        <w:rPr>
          <w:rFonts w:ascii="Times New Roman" w:eastAsia="Times New Roman" w:hAnsi="Times New Roman"/>
          <w:sz w:val="24"/>
        </w:rPr>
        <w:t>is not confidential, unless the parties agree otherwise.</w:t>
      </w:r>
      <w:r>
        <w:rPr>
          <w:rFonts w:ascii="Times New Roman" w:eastAsia="Times New Roman" w:hAnsi="Times New Roman"/>
          <w:sz w:val="24"/>
        </w:rPr>
        <w:t xml:space="preserve"> </w:t>
      </w:r>
      <w:r w:rsidRPr="008A18F3">
        <w:rPr>
          <w:rFonts w:ascii="Times New Roman" w:eastAsia="Times New Roman" w:hAnsi="Times New Roman"/>
          <w:sz w:val="24"/>
        </w:rPr>
        <w:t>If a party asks</w:t>
      </w:r>
      <w:r>
        <w:rPr>
          <w:rFonts w:ascii="Times New Roman" w:eastAsia="Times New Roman" w:hAnsi="Times New Roman"/>
          <w:sz w:val="24"/>
        </w:rPr>
        <w:t xml:space="preserve"> </w:t>
      </w:r>
      <w:r w:rsidRPr="008A18F3">
        <w:rPr>
          <w:rFonts w:ascii="Times New Roman" w:eastAsia="Times New Roman" w:hAnsi="Times New Roman"/>
          <w:sz w:val="24"/>
        </w:rPr>
        <w:t xml:space="preserve">to keep specific information confidential, the party will need to clearly identify such information </w:t>
      </w:r>
      <w:r>
        <w:rPr>
          <w:rFonts w:ascii="Times New Roman" w:eastAsia="Times New Roman" w:hAnsi="Times New Roman"/>
          <w:sz w:val="24"/>
        </w:rPr>
        <w:t xml:space="preserve">and the conditions for disclosure of the information to any other party.  Parties may agree to enter into confidentiality agreements during the Complaint Handling Process, however the Commissioner will not be bound by such agreements. </w:t>
      </w:r>
    </w:p>
    <w:p w14:paraId="579854B5" w14:textId="77777777" w:rsidR="00A10B97" w:rsidRPr="00D86C92" w:rsidRDefault="00A10B97" w:rsidP="00A10B97">
      <w:pPr>
        <w:pStyle w:val="ListParagraph"/>
        <w:numPr>
          <w:ilvl w:val="0"/>
          <w:numId w:val="0"/>
        </w:numPr>
        <w:spacing w:before="100" w:after="100"/>
        <w:ind w:left="360"/>
        <w:contextualSpacing/>
        <w:rPr>
          <w:rFonts w:ascii="Times New Roman" w:eastAsia="Times New Roman" w:hAnsi="Times New Roman"/>
          <w:sz w:val="24"/>
        </w:rPr>
      </w:pPr>
    </w:p>
    <w:p w14:paraId="1582A923" w14:textId="77777777" w:rsidR="00A10B97" w:rsidRDefault="00A10B97" w:rsidP="00A10B97">
      <w:pPr>
        <w:pStyle w:val="ListParagraph"/>
        <w:numPr>
          <w:ilvl w:val="0"/>
          <w:numId w:val="21"/>
        </w:numPr>
        <w:spacing w:before="100" w:after="100"/>
        <w:contextualSpacing/>
        <w:rPr>
          <w:rFonts w:ascii="Times New Roman" w:eastAsia="Times New Roman" w:hAnsi="Times New Roman"/>
          <w:sz w:val="24"/>
        </w:rPr>
      </w:pPr>
      <w:r w:rsidRPr="00D86C92">
        <w:rPr>
          <w:rFonts w:ascii="Times New Roman" w:eastAsia="Times New Roman" w:hAnsi="Times New Roman"/>
          <w:sz w:val="24"/>
        </w:rPr>
        <w:t xml:space="preserve">When a party requests that information is kept confidential, we will inform them of any impact this may have on the resolution of the matter. Such restrictions may impact on our ability to </w:t>
      </w:r>
      <w:r>
        <w:rPr>
          <w:rFonts w:ascii="Times New Roman" w:eastAsia="Times New Roman" w:hAnsi="Times New Roman"/>
          <w:sz w:val="24"/>
        </w:rPr>
        <w:t xml:space="preserve">further </w:t>
      </w:r>
      <w:r w:rsidRPr="00D86C92">
        <w:rPr>
          <w:rFonts w:ascii="Times New Roman" w:eastAsia="Times New Roman" w:hAnsi="Times New Roman"/>
          <w:sz w:val="24"/>
        </w:rPr>
        <w:t xml:space="preserve">assist with the </w:t>
      </w:r>
      <w:r>
        <w:rPr>
          <w:rFonts w:ascii="Times New Roman" w:eastAsia="Times New Roman" w:hAnsi="Times New Roman"/>
          <w:sz w:val="24"/>
        </w:rPr>
        <w:t xml:space="preserve">resolution of the </w:t>
      </w:r>
      <w:r w:rsidRPr="00D86C92">
        <w:rPr>
          <w:rFonts w:ascii="Times New Roman" w:eastAsia="Times New Roman" w:hAnsi="Times New Roman"/>
          <w:sz w:val="24"/>
        </w:rPr>
        <w:t>complaint.</w:t>
      </w:r>
    </w:p>
    <w:p w14:paraId="09F68683" w14:textId="31E669B9" w:rsidR="00A10B97" w:rsidRPr="00A10B97" w:rsidRDefault="00A10B97" w:rsidP="00A10B97">
      <w:pPr>
        <w:pStyle w:val="ListParagraph"/>
        <w:numPr>
          <w:ilvl w:val="0"/>
          <w:numId w:val="0"/>
        </w:numPr>
        <w:ind w:left="369"/>
        <w:rPr>
          <w:rFonts w:ascii="Times New Roman" w:eastAsia="Times New Roman" w:hAnsi="Times New Roman"/>
          <w:sz w:val="24"/>
        </w:rPr>
      </w:pPr>
      <w:r w:rsidRPr="00A10B97">
        <w:rPr>
          <w:rFonts w:ascii="Times New Roman" w:eastAsia="Times New Roman" w:hAnsi="Times New Roman"/>
          <w:sz w:val="24"/>
        </w:rPr>
        <w:t xml:space="preserve">  </w:t>
      </w:r>
    </w:p>
    <w:p w14:paraId="51931280" w14:textId="77777777" w:rsidR="00A10B97" w:rsidRPr="007C1419" w:rsidRDefault="00A10B97" w:rsidP="00A10B97">
      <w:pPr>
        <w:keepNext/>
        <w:spacing w:before="100" w:after="100"/>
        <w:contextualSpacing/>
        <w:rPr>
          <w:rFonts w:ascii="Times New Roman" w:eastAsia="Times New Roman" w:hAnsi="Times New Roman"/>
          <w:b/>
          <w:sz w:val="24"/>
        </w:rPr>
      </w:pPr>
      <w:r w:rsidRPr="007C1419">
        <w:rPr>
          <w:rFonts w:ascii="Times New Roman" w:eastAsia="Times New Roman" w:hAnsi="Times New Roman"/>
          <w:b/>
          <w:sz w:val="24"/>
        </w:rPr>
        <w:lastRenderedPageBreak/>
        <w:t>Privacy</w:t>
      </w:r>
    </w:p>
    <w:p w14:paraId="12399A36" w14:textId="77777777" w:rsidR="00A10B97" w:rsidRDefault="00A10B97" w:rsidP="00A10B97">
      <w:pPr>
        <w:pStyle w:val="ListParagraph"/>
        <w:numPr>
          <w:ilvl w:val="0"/>
          <w:numId w:val="23"/>
        </w:numPr>
        <w:spacing w:before="100" w:after="100"/>
        <w:ind w:left="357"/>
        <w:contextualSpacing/>
        <w:rPr>
          <w:rFonts w:ascii="Times New Roman" w:eastAsia="Times New Roman" w:hAnsi="Times New Roman"/>
          <w:sz w:val="24"/>
        </w:rPr>
      </w:pPr>
      <w:r w:rsidRPr="008E47E9">
        <w:rPr>
          <w:rFonts w:ascii="Times New Roman" w:eastAsia="Times New Roman" w:hAnsi="Times New Roman"/>
          <w:sz w:val="24"/>
        </w:rPr>
        <w:t xml:space="preserve">Some of the information that we collect and store may contain personal information. </w:t>
      </w:r>
      <w:r w:rsidRPr="00A531CE">
        <w:rPr>
          <w:rFonts w:ascii="Times New Roman" w:eastAsia="Times New Roman" w:hAnsi="Times New Roman"/>
          <w:sz w:val="24"/>
        </w:rPr>
        <w:t>We will handle personal information consistent with this policy, with applicable Australian privacy laws and the Department of the Environment</w:t>
      </w:r>
      <w:r>
        <w:rPr>
          <w:rFonts w:ascii="Times New Roman" w:eastAsia="Times New Roman" w:hAnsi="Times New Roman"/>
          <w:sz w:val="24"/>
        </w:rPr>
        <w:t xml:space="preserve"> &amp; Energy</w:t>
      </w:r>
      <w:r w:rsidRPr="00A531CE">
        <w:rPr>
          <w:rFonts w:ascii="Times New Roman" w:eastAsia="Times New Roman" w:hAnsi="Times New Roman"/>
          <w:sz w:val="24"/>
        </w:rPr>
        <w:t>’s Privacy Policy</w:t>
      </w:r>
      <w:r>
        <w:rPr>
          <w:rFonts w:ascii="Times New Roman" w:eastAsia="Times New Roman" w:hAnsi="Times New Roman"/>
          <w:sz w:val="24"/>
        </w:rPr>
        <w:t xml:space="preserve"> at: </w:t>
      </w:r>
      <w:hyperlink r:id="rId69" w:history="1">
        <w:r w:rsidRPr="00D16EE2">
          <w:rPr>
            <w:rStyle w:val="Hyperlink"/>
            <w:rFonts w:ascii="Times New Roman" w:eastAsia="Times New Roman" w:hAnsi="Times New Roman"/>
            <w:sz w:val="24"/>
          </w:rPr>
          <w:t>http://www.environment.gov.au/privacy-policy</w:t>
        </w:r>
      </w:hyperlink>
      <w:r w:rsidRPr="00A531CE">
        <w:rPr>
          <w:rFonts w:ascii="Times New Roman" w:eastAsia="Times New Roman" w:hAnsi="Times New Roman"/>
          <w:sz w:val="24"/>
        </w:rPr>
        <w:t>.</w:t>
      </w:r>
    </w:p>
    <w:p w14:paraId="46DDB7B3" w14:textId="77777777" w:rsidR="00A10B97" w:rsidRPr="00DE7097" w:rsidRDefault="00A10B97" w:rsidP="00A10B97">
      <w:pPr>
        <w:spacing w:before="100" w:after="100"/>
        <w:contextualSpacing/>
        <w:rPr>
          <w:rFonts w:ascii="Times New Roman" w:eastAsia="Times New Roman" w:hAnsi="Times New Roman"/>
          <w:sz w:val="24"/>
        </w:rPr>
      </w:pPr>
    </w:p>
    <w:p w14:paraId="42DD1CB4" w14:textId="77777777" w:rsidR="00A10B97" w:rsidRDefault="00A10B97" w:rsidP="00A10B97">
      <w:pPr>
        <w:pStyle w:val="ListParagraph"/>
        <w:numPr>
          <w:ilvl w:val="0"/>
          <w:numId w:val="23"/>
        </w:numPr>
        <w:spacing w:before="100" w:after="100"/>
        <w:ind w:left="357"/>
        <w:contextualSpacing/>
        <w:rPr>
          <w:rFonts w:ascii="Times New Roman" w:eastAsia="Times New Roman" w:hAnsi="Times New Roman"/>
          <w:sz w:val="24"/>
        </w:rPr>
      </w:pPr>
      <w:r>
        <w:rPr>
          <w:rFonts w:ascii="Times New Roman" w:eastAsia="Times New Roman" w:hAnsi="Times New Roman"/>
          <w:sz w:val="24"/>
        </w:rPr>
        <w:t xml:space="preserve">If a complainant </w:t>
      </w:r>
      <w:r w:rsidRPr="008E47E9">
        <w:rPr>
          <w:rFonts w:ascii="Times New Roman" w:eastAsia="Times New Roman" w:hAnsi="Times New Roman"/>
          <w:sz w:val="24"/>
        </w:rPr>
        <w:t>do</w:t>
      </w:r>
      <w:r>
        <w:rPr>
          <w:rFonts w:ascii="Times New Roman" w:eastAsia="Times New Roman" w:hAnsi="Times New Roman"/>
          <w:sz w:val="24"/>
        </w:rPr>
        <w:t>es</w:t>
      </w:r>
      <w:r w:rsidRPr="008E47E9">
        <w:rPr>
          <w:rFonts w:ascii="Times New Roman" w:eastAsia="Times New Roman" w:hAnsi="Times New Roman"/>
          <w:sz w:val="24"/>
        </w:rPr>
        <w:t xml:space="preserve"> not wish for the </w:t>
      </w:r>
      <w:r>
        <w:rPr>
          <w:rFonts w:ascii="Times New Roman" w:eastAsia="Times New Roman" w:hAnsi="Times New Roman"/>
          <w:sz w:val="24"/>
        </w:rPr>
        <w:t xml:space="preserve">Office </w:t>
      </w:r>
      <w:r w:rsidRPr="008E47E9">
        <w:rPr>
          <w:rFonts w:ascii="Times New Roman" w:eastAsia="Times New Roman" w:hAnsi="Times New Roman"/>
          <w:sz w:val="24"/>
        </w:rPr>
        <w:t>to use or disclo</w:t>
      </w:r>
      <w:r>
        <w:rPr>
          <w:rFonts w:ascii="Times New Roman" w:eastAsia="Times New Roman" w:hAnsi="Times New Roman"/>
          <w:sz w:val="24"/>
        </w:rPr>
        <w:t>se personal</w:t>
      </w:r>
      <w:r w:rsidRPr="008E47E9">
        <w:rPr>
          <w:rFonts w:ascii="Times New Roman" w:eastAsia="Times New Roman" w:hAnsi="Times New Roman"/>
          <w:sz w:val="24"/>
        </w:rPr>
        <w:t xml:space="preserve"> information, </w:t>
      </w:r>
      <w:r>
        <w:rPr>
          <w:rFonts w:ascii="Times New Roman" w:eastAsia="Times New Roman" w:hAnsi="Times New Roman"/>
          <w:sz w:val="24"/>
        </w:rPr>
        <w:t>the complainant</w:t>
      </w:r>
      <w:r w:rsidRPr="008E47E9">
        <w:rPr>
          <w:rFonts w:ascii="Times New Roman" w:eastAsia="Times New Roman" w:hAnsi="Times New Roman"/>
          <w:sz w:val="24"/>
        </w:rPr>
        <w:t xml:space="preserve"> will need to make this clear to us when providing the information. We </w:t>
      </w:r>
      <w:r>
        <w:rPr>
          <w:rFonts w:ascii="Times New Roman" w:eastAsia="Times New Roman" w:hAnsi="Times New Roman"/>
          <w:sz w:val="24"/>
        </w:rPr>
        <w:t xml:space="preserve">may advise the complainant </w:t>
      </w:r>
      <w:r w:rsidRPr="008E47E9">
        <w:rPr>
          <w:rFonts w:ascii="Times New Roman" w:eastAsia="Times New Roman" w:hAnsi="Times New Roman"/>
          <w:sz w:val="24"/>
        </w:rPr>
        <w:t xml:space="preserve">if we think that this will limit the way </w:t>
      </w:r>
      <w:r>
        <w:rPr>
          <w:rFonts w:ascii="Times New Roman" w:eastAsia="Times New Roman" w:hAnsi="Times New Roman"/>
          <w:sz w:val="24"/>
        </w:rPr>
        <w:t>in which we can assist them with their</w:t>
      </w:r>
      <w:r w:rsidRPr="008E47E9">
        <w:rPr>
          <w:rFonts w:ascii="Times New Roman" w:eastAsia="Times New Roman" w:hAnsi="Times New Roman"/>
          <w:sz w:val="24"/>
        </w:rPr>
        <w:t xml:space="preserve"> complaint. </w:t>
      </w:r>
    </w:p>
    <w:p w14:paraId="37A2F497" w14:textId="77777777" w:rsidR="00A10B97" w:rsidRDefault="00A10B97" w:rsidP="00A10B97">
      <w:pPr>
        <w:pStyle w:val="ListParagraph"/>
        <w:numPr>
          <w:ilvl w:val="0"/>
          <w:numId w:val="0"/>
        </w:numPr>
        <w:spacing w:before="100" w:after="100"/>
        <w:ind w:left="357"/>
        <w:contextualSpacing/>
        <w:rPr>
          <w:rFonts w:ascii="Times New Roman" w:eastAsia="Times New Roman" w:hAnsi="Times New Roman"/>
          <w:sz w:val="24"/>
        </w:rPr>
      </w:pPr>
    </w:p>
    <w:p w14:paraId="018E1E79" w14:textId="77777777" w:rsidR="00A10B97" w:rsidRPr="00D86C92" w:rsidRDefault="00A10B97" w:rsidP="00A10B97">
      <w:pPr>
        <w:pStyle w:val="ListParagraph"/>
        <w:numPr>
          <w:ilvl w:val="0"/>
          <w:numId w:val="23"/>
        </w:numPr>
        <w:spacing w:before="100" w:after="100"/>
        <w:ind w:left="357"/>
        <w:contextualSpacing/>
        <w:rPr>
          <w:rFonts w:ascii="Times New Roman" w:eastAsia="Times New Roman" w:hAnsi="Times New Roman"/>
          <w:sz w:val="24"/>
        </w:rPr>
      </w:pPr>
      <w:r w:rsidRPr="0071749D">
        <w:rPr>
          <w:rFonts w:ascii="Times New Roman" w:eastAsia="Times New Roman" w:hAnsi="Times New Roman"/>
          <w:sz w:val="24"/>
        </w:rPr>
        <w:t xml:space="preserve">Regardless of whether or not </w:t>
      </w:r>
      <w:r>
        <w:rPr>
          <w:rFonts w:ascii="Times New Roman" w:eastAsia="Times New Roman" w:hAnsi="Times New Roman"/>
          <w:sz w:val="24"/>
        </w:rPr>
        <w:t>a complainant or person</w:t>
      </w:r>
      <w:r w:rsidRPr="0071749D">
        <w:rPr>
          <w:rFonts w:ascii="Times New Roman" w:eastAsia="Times New Roman" w:hAnsi="Times New Roman"/>
          <w:sz w:val="24"/>
        </w:rPr>
        <w:t xml:space="preserve"> consent</w:t>
      </w:r>
      <w:r>
        <w:rPr>
          <w:rFonts w:ascii="Times New Roman" w:eastAsia="Times New Roman" w:hAnsi="Times New Roman"/>
          <w:sz w:val="24"/>
        </w:rPr>
        <w:t>s</w:t>
      </w:r>
      <w:r w:rsidRPr="0071749D">
        <w:rPr>
          <w:rFonts w:ascii="Times New Roman" w:eastAsia="Times New Roman" w:hAnsi="Times New Roman"/>
          <w:sz w:val="24"/>
        </w:rPr>
        <w:t xml:space="preserve"> to any disclosure of personal information, we may disclose </w:t>
      </w:r>
      <w:r>
        <w:rPr>
          <w:rFonts w:ascii="Times New Roman" w:eastAsia="Times New Roman" w:hAnsi="Times New Roman"/>
          <w:sz w:val="24"/>
        </w:rPr>
        <w:t xml:space="preserve">the information </w:t>
      </w:r>
      <w:r w:rsidRPr="0071749D">
        <w:rPr>
          <w:rFonts w:ascii="Times New Roman" w:eastAsia="Times New Roman" w:hAnsi="Times New Roman"/>
          <w:sz w:val="24"/>
        </w:rPr>
        <w:t xml:space="preserve">to </w:t>
      </w:r>
      <w:r>
        <w:rPr>
          <w:rFonts w:ascii="Times New Roman" w:eastAsia="Times New Roman" w:hAnsi="Times New Roman"/>
          <w:sz w:val="24"/>
        </w:rPr>
        <w:t xml:space="preserve">relevant </w:t>
      </w:r>
      <w:r w:rsidRPr="0071749D">
        <w:rPr>
          <w:rFonts w:ascii="Times New Roman" w:eastAsia="Times New Roman" w:hAnsi="Times New Roman"/>
          <w:sz w:val="24"/>
        </w:rPr>
        <w:t xml:space="preserve">third parties where permitted under the </w:t>
      </w:r>
      <w:r w:rsidRPr="00511CB0">
        <w:rPr>
          <w:rFonts w:ascii="Times New Roman" w:eastAsia="Times New Roman" w:hAnsi="Times New Roman"/>
          <w:i/>
          <w:sz w:val="24"/>
        </w:rPr>
        <w:t>Privacy Act (1988)</w:t>
      </w:r>
      <w:r w:rsidRPr="0071749D">
        <w:rPr>
          <w:rFonts w:ascii="Times New Roman" w:eastAsia="Times New Roman" w:hAnsi="Times New Roman"/>
          <w:sz w:val="24"/>
        </w:rPr>
        <w:t xml:space="preserve">. These third parties may include </w:t>
      </w:r>
      <w:r>
        <w:rPr>
          <w:rFonts w:ascii="Times New Roman" w:eastAsia="Times New Roman" w:hAnsi="Times New Roman"/>
          <w:sz w:val="24"/>
        </w:rPr>
        <w:t xml:space="preserve">other parties to the complaint, </w:t>
      </w:r>
      <w:r w:rsidRPr="0071749D">
        <w:rPr>
          <w:rFonts w:ascii="Times New Roman" w:eastAsia="Times New Roman" w:hAnsi="Times New Roman"/>
          <w:sz w:val="24"/>
        </w:rPr>
        <w:t xml:space="preserve">law enforcement bodies, </w:t>
      </w:r>
      <w:r>
        <w:rPr>
          <w:rFonts w:ascii="Times New Roman" w:eastAsia="Times New Roman" w:hAnsi="Times New Roman"/>
          <w:sz w:val="24"/>
        </w:rPr>
        <w:t xml:space="preserve">or </w:t>
      </w:r>
      <w:r w:rsidRPr="0071749D">
        <w:rPr>
          <w:rFonts w:ascii="Times New Roman" w:eastAsia="Times New Roman" w:hAnsi="Times New Roman"/>
          <w:sz w:val="24"/>
        </w:rPr>
        <w:t xml:space="preserve">a House or Committee of the </w:t>
      </w:r>
      <w:r>
        <w:rPr>
          <w:rFonts w:ascii="Times New Roman" w:eastAsia="Times New Roman" w:hAnsi="Times New Roman"/>
          <w:sz w:val="24"/>
        </w:rPr>
        <w:t xml:space="preserve">Australian </w:t>
      </w:r>
      <w:r w:rsidRPr="0071749D">
        <w:rPr>
          <w:rFonts w:ascii="Times New Roman" w:eastAsia="Times New Roman" w:hAnsi="Times New Roman"/>
          <w:sz w:val="24"/>
        </w:rPr>
        <w:t>Parliament.</w:t>
      </w:r>
    </w:p>
    <w:p w14:paraId="4433C4B9" w14:textId="77777777" w:rsidR="00A10B97" w:rsidRPr="00D86C92" w:rsidRDefault="00A10B97" w:rsidP="00A10B97">
      <w:pPr>
        <w:pStyle w:val="ListParagraph"/>
        <w:numPr>
          <w:ilvl w:val="0"/>
          <w:numId w:val="0"/>
        </w:numPr>
        <w:spacing w:before="100" w:after="100"/>
        <w:ind w:left="360"/>
        <w:contextualSpacing/>
        <w:rPr>
          <w:rFonts w:ascii="Times New Roman" w:eastAsia="Times New Roman" w:hAnsi="Times New Roman"/>
          <w:sz w:val="24"/>
        </w:rPr>
      </w:pPr>
    </w:p>
    <w:p w14:paraId="110ED2F7" w14:textId="77777777" w:rsidR="00A10B97" w:rsidRPr="007C1419" w:rsidRDefault="00A10B97" w:rsidP="00A10B97">
      <w:pPr>
        <w:spacing w:before="100" w:after="100"/>
        <w:rPr>
          <w:rFonts w:ascii="Times New Roman" w:eastAsia="Times New Roman" w:hAnsi="Times New Roman"/>
          <w:b/>
          <w:sz w:val="24"/>
        </w:rPr>
      </w:pPr>
      <w:r w:rsidRPr="007C1419">
        <w:rPr>
          <w:rFonts w:ascii="Times New Roman" w:eastAsia="Times New Roman" w:hAnsi="Times New Roman"/>
          <w:b/>
          <w:sz w:val="24"/>
        </w:rPr>
        <w:t>Requests for the release of information from our records</w:t>
      </w:r>
    </w:p>
    <w:p w14:paraId="00BFFFF0" w14:textId="77777777" w:rsidR="00A10B97" w:rsidRDefault="00A10B97" w:rsidP="00A10B97">
      <w:pPr>
        <w:pStyle w:val="ListParagraph"/>
        <w:numPr>
          <w:ilvl w:val="0"/>
          <w:numId w:val="21"/>
        </w:numPr>
        <w:spacing w:before="100" w:after="100"/>
        <w:contextualSpacing/>
        <w:rPr>
          <w:rFonts w:ascii="Times New Roman" w:eastAsia="Times New Roman" w:hAnsi="Times New Roman"/>
          <w:sz w:val="24"/>
          <w:szCs w:val="24"/>
        </w:rPr>
      </w:pPr>
      <w:r>
        <w:rPr>
          <w:rFonts w:ascii="Times New Roman" w:eastAsia="Times New Roman" w:hAnsi="Times New Roman"/>
          <w:sz w:val="24"/>
        </w:rPr>
        <w:t xml:space="preserve">When a </w:t>
      </w:r>
      <w:r w:rsidRPr="00D86C92">
        <w:rPr>
          <w:rFonts w:ascii="Times New Roman" w:eastAsia="Times New Roman" w:hAnsi="Times New Roman"/>
          <w:sz w:val="24"/>
        </w:rPr>
        <w:t>third party requests information from our records</w:t>
      </w:r>
      <w:r>
        <w:rPr>
          <w:rFonts w:ascii="Times New Roman" w:eastAsia="Times New Roman" w:hAnsi="Times New Roman"/>
          <w:sz w:val="24"/>
        </w:rPr>
        <w:t>,</w:t>
      </w:r>
      <w:r w:rsidRPr="00D86C92">
        <w:rPr>
          <w:rFonts w:ascii="Times New Roman" w:eastAsia="Times New Roman" w:hAnsi="Times New Roman"/>
          <w:sz w:val="24"/>
        </w:rPr>
        <w:t xml:space="preserve"> and the circumstances are not covered by this policy, we will be guided as to whether the information should be released by applying the </w:t>
      </w:r>
      <w:r w:rsidRPr="00D52824">
        <w:rPr>
          <w:rFonts w:ascii="Times New Roman" w:eastAsia="Times New Roman" w:hAnsi="Times New Roman"/>
          <w:i/>
          <w:sz w:val="24"/>
        </w:rPr>
        <w:t>Freedom of Information Act (1982)</w:t>
      </w:r>
      <w:r w:rsidRPr="00D86C92">
        <w:rPr>
          <w:rFonts w:ascii="Times New Roman" w:eastAsia="Times New Roman" w:hAnsi="Times New Roman"/>
          <w:sz w:val="24"/>
        </w:rPr>
        <w:t>.</w:t>
      </w:r>
    </w:p>
    <w:p w14:paraId="60CA421F" w14:textId="77777777" w:rsidR="00A10B97" w:rsidRDefault="00A10B97" w:rsidP="00A10B97">
      <w:pPr>
        <w:pStyle w:val="ListParagraph"/>
        <w:numPr>
          <w:ilvl w:val="0"/>
          <w:numId w:val="0"/>
        </w:numPr>
        <w:spacing w:before="100" w:after="100"/>
        <w:ind w:left="360"/>
        <w:contextualSpacing/>
        <w:rPr>
          <w:rFonts w:ascii="Times New Roman" w:eastAsia="Times New Roman" w:hAnsi="Times New Roman"/>
          <w:sz w:val="24"/>
          <w:szCs w:val="24"/>
        </w:rPr>
      </w:pPr>
    </w:p>
    <w:p w14:paraId="163EFA94" w14:textId="77777777" w:rsidR="00342E52" w:rsidRDefault="00342E52"/>
    <w:sectPr w:rsidR="00342E52" w:rsidSect="00C90C75">
      <w:headerReference w:type="even" r:id="rId70"/>
      <w:headerReference w:type="default" r:id="rId71"/>
      <w:headerReference w:type="first" r:id="rId72"/>
      <w:pgSz w:w="11906" w:h="16838" w:code="9"/>
      <w:pgMar w:top="720" w:right="720" w:bottom="720" w:left="720"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11C7B" w14:textId="77777777" w:rsidR="00210C22" w:rsidRDefault="00210C22" w:rsidP="005874E7">
      <w:pPr>
        <w:spacing w:after="0" w:line="240" w:lineRule="auto"/>
      </w:pPr>
      <w:r>
        <w:separator/>
      </w:r>
    </w:p>
  </w:endnote>
  <w:endnote w:type="continuationSeparator" w:id="0">
    <w:p w14:paraId="79CBEE9F" w14:textId="77777777" w:rsidR="00210C22" w:rsidRDefault="00210C22" w:rsidP="0058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BA793" w14:textId="77777777" w:rsidR="00210C22" w:rsidRPr="00535F5F" w:rsidRDefault="00210C22" w:rsidP="00C90C75">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sioner: Annual Report, March 2017</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Pr>
        <w:rFonts w:ascii="Calibri Light" w:hAnsi="Calibri Light"/>
        <w:noProof/>
        <w:sz w:val="20"/>
        <w:szCs w:val="20"/>
      </w:rPr>
      <w:t>2</w:t>
    </w:r>
    <w:r w:rsidRPr="005257B7">
      <w:rPr>
        <w:rFonts w:ascii="Calibri Light" w:hAnsi="Calibri Light"/>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65822" w14:textId="77777777" w:rsidR="00210C22" w:rsidRPr="006048D4" w:rsidRDefault="006F23F3" w:rsidP="00C90C75">
    <w:pPr>
      <w:pStyle w:val="Footer"/>
      <w:jc w:val="center"/>
      <w:rPr>
        <w:rFonts w:ascii="Calibri" w:hAnsi="Calibri"/>
      </w:rPr>
    </w:pPr>
    <w:r>
      <w:rPr>
        <w:rFonts w:ascii="Calibri" w:hAnsi="Calibri"/>
        <w:sz w:val="20"/>
      </w:rPr>
      <w:pict w14:anchorId="151CF3A0">
        <v:rect id="_x0000_i1026" style="width:481.9pt;height:1pt" o:hralign="center" o:hrstd="t" o:hrnoshade="t" o:hr="t" fillcolor="black [3213]" stroked="f"/>
      </w:pict>
    </w:r>
  </w:p>
  <w:p w14:paraId="4C4FC1BB" w14:textId="77777777" w:rsidR="00210C22" w:rsidRPr="006048D4" w:rsidRDefault="00210C22" w:rsidP="00C90C75">
    <w:pPr>
      <w:pStyle w:val="Footer"/>
      <w:jc w:val="center"/>
      <w:rPr>
        <w:rFonts w:ascii="Calibri" w:hAnsi="Calibri"/>
      </w:rPr>
    </w:pPr>
    <w:r w:rsidRPr="006048D4">
      <w:rPr>
        <w:rFonts w:ascii="Calibri" w:hAnsi="Calibri"/>
      </w:rPr>
      <w:t>PO Box 24434, Melbourne VIC 3001</w:t>
    </w:r>
    <w:r w:rsidRPr="006048D4">
      <w:rPr>
        <w:rFonts w:ascii="Calibri" w:hAnsi="Calibri"/>
      </w:rPr>
      <w:br/>
      <w:t xml:space="preserve">1800 656 395 </w:t>
    </w:r>
    <w:r w:rsidRPr="006048D4">
      <w:rPr>
        <w:rFonts w:ascii="Calibri" w:hAnsi="Calibri"/>
      </w:rPr>
      <w:br/>
      <w:t>www.nwfc.gov.au</w:t>
    </w:r>
  </w:p>
  <w:p w14:paraId="2AC7F14F" w14:textId="77777777" w:rsidR="00210C22" w:rsidRPr="0096116D" w:rsidRDefault="00210C22" w:rsidP="00C90C7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875E1" w14:textId="59A7E93A" w:rsidR="00210C22" w:rsidRPr="00535F5F" w:rsidRDefault="00210C22" w:rsidP="00C90C75">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 xml:space="preserve">sioner: 2017 Annual Report </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6F23F3">
      <w:rPr>
        <w:rFonts w:ascii="Calibri Light" w:hAnsi="Calibri Light"/>
        <w:noProof/>
        <w:sz w:val="20"/>
        <w:szCs w:val="20"/>
      </w:rPr>
      <w:t>3</w:t>
    </w:r>
    <w:r w:rsidRPr="005257B7">
      <w:rPr>
        <w:rFonts w:ascii="Calibri Light" w:hAnsi="Calibri Light"/>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A475F" w14:textId="3CF92AE4" w:rsidR="00210C22" w:rsidRPr="005257B7" w:rsidRDefault="00210C22" w:rsidP="00C90C75">
    <w:pPr>
      <w:pStyle w:val="Footer"/>
      <w:pBdr>
        <w:top w:val="single" w:sz="2" w:space="1" w:color="595959" w:themeColor="text1" w:themeTint="A6"/>
        <w:bottom w:val="single" w:sz="2" w:space="1" w:color="595959" w:themeColor="text1" w:themeTint="A6"/>
      </w:pBdr>
      <w:tabs>
        <w:tab w:val="clear" w:pos="9026"/>
        <w:tab w:val="right" w:pos="10490"/>
      </w:tabs>
      <w:spacing w:before="240"/>
      <w:rPr>
        <w:rFonts w:ascii="Calibri Light" w:hAnsi="Calibri Light"/>
        <w:sz w:val="20"/>
        <w:szCs w:val="20"/>
      </w:rPr>
    </w:pPr>
    <w:r w:rsidRPr="005C613A">
      <w:rPr>
        <w:rFonts w:ascii="Calibri Light" w:hAnsi="Calibri Light"/>
        <w:sz w:val="20"/>
        <w:szCs w:val="20"/>
      </w:rPr>
      <w:t>National Wind Farm Commis</w:t>
    </w:r>
    <w:r>
      <w:rPr>
        <w:rFonts w:ascii="Calibri Light" w:hAnsi="Calibri Light"/>
        <w:sz w:val="20"/>
        <w:szCs w:val="20"/>
      </w:rPr>
      <w:t xml:space="preserve">sioner: 2017 Annual Report </w:t>
    </w:r>
    <w:r>
      <w:rPr>
        <w:rFonts w:ascii="Calibri Light" w:hAnsi="Calibri Light"/>
        <w:sz w:val="20"/>
        <w:szCs w:val="20"/>
      </w:rPr>
      <w:tab/>
      <w:t xml:space="preserve">            Page </w:t>
    </w:r>
    <w:r w:rsidRPr="005257B7">
      <w:rPr>
        <w:rFonts w:ascii="Calibri Light" w:hAnsi="Calibri Light"/>
        <w:sz w:val="20"/>
        <w:szCs w:val="20"/>
      </w:rPr>
      <w:fldChar w:fldCharType="begin"/>
    </w:r>
    <w:r w:rsidRPr="005257B7">
      <w:rPr>
        <w:rFonts w:ascii="Calibri Light" w:hAnsi="Calibri Light"/>
        <w:sz w:val="20"/>
        <w:szCs w:val="20"/>
      </w:rPr>
      <w:instrText xml:space="preserve"> PAGE   \* MERGEFORMAT </w:instrText>
    </w:r>
    <w:r w:rsidRPr="005257B7">
      <w:rPr>
        <w:rFonts w:ascii="Calibri Light" w:hAnsi="Calibri Light"/>
        <w:sz w:val="20"/>
        <w:szCs w:val="20"/>
      </w:rPr>
      <w:fldChar w:fldCharType="separate"/>
    </w:r>
    <w:r w:rsidR="006F23F3">
      <w:rPr>
        <w:rFonts w:ascii="Calibri Light" w:hAnsi="Calibri Light"/>
        <w:noProof/>
        <w:sz w:val="20"/>
        <w:szCs w:val="20"/>
      </w:rPr>
      <w:t>22</w:t>
    </w:r>
    <w:r w:rsidRPr="005257B7">
      <w:rPr>
        <w:rFonts w:ascii="Calibri Light" w:hAnsi="Calibri Light"/>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39C46" w14:textId="77777777" w:rsidR="00210C22" w:rsidRDefault="00210C22" w:rsidP="005874E7">
      <w:pPr>
        <w:spacing w:after="0" w:line="240" w:lineRule="auto"/>
      </w:pPr>
      <w:r>
        <w:separator/>
      </w:r>
    </w:p>
  </w:footnote>
  <w:footnote w:type="continuationSeparator" w:id="0">
    <w:p w14:paraId="6E1061D2" w14:textId="77777777" w:rsidR="00210C22" w:rsidRDefault="00210C22" w:rsidP="005874E7">
      <w:pPr>
        <w:spacing w:after="0" w:line="240" w:lineRule="auto"/>
      </w:pPr>
      <w:r>
        <w:continuationSeparator/>
      </w:r>
    </w:p>
  </w:footnote>
  <w:footnote w:id="1">
    <w:p w14:paraId="12BB0131" w14:textId="77777777" w:rsidR="00210C22" w:rsidRDefault="00210C22" w:rsidP="00947ED2">
      <w:pPr>
        <w:pStyle w:val="FootnoteText"/>
      </w:pPr>
      <w:r>
        <w:rPr>
          <w:rStyle w:val="FootnoteReference"/>
        </w:rPr>
        <w:t>*</w:t>
      </w:r>
      <w:r>
        <w:t xml:space="preserve"> or background noise plus five </w:t>
      </w:r>
      <w:r w:rsidRPr="007672A1">
        <w:t>dB(A), whichever is the greater amount</w:t>
      </w:r>
      <w:r>
        <w:t>.  Measurements of A-weighted sound pressure level are generally taken on the basis of LA90, 10min.</w:t>
      </w:r>
    </w:p>
  </w:footnote>
  <w:footnote w:id="2">
    <w:p w14:paraId="2B2973E4" w14:textId="77777777" w:rsidR="00210C22" w:rsidRPr="0068632D" w:rsidRDefault="00210C22" w:rsidP="00947ED2">
      <w:pPr>
        <w:pStyle w:val="FootnoteText"/>
        <w:rPr>
          <w:sz w:val="2"/>
          <w:szCs w:val="2"/>
        </w:rPr>
      </w:pPr>
    </w:p>
  </w:footnote>
  <w:footnote w:id="3">
    <w:p w14:paraId="704FC96B" w14:textId="77777777" w:rsidR="00210C22" w:rsidRPr="0068632D" w:rsidRDefault="00210C22" w:rsidP="00947ED2">
      <w:pPr>
        <w:pStyle w:val="FootnoteText"/>
        <w:rPr>
          <w:sz w:val="2"/>
          <w:szCs w:val="2"/>
        </w:rPr>
      </w:pPr>
    </w:p>
  </w:footnote>
  <w:footnote w:id="4">
    <w:p w14:paraId="3FEEF4AC" w14:textId="77777777" w:rsidR="00210C22" w:rsidRPr="0068632D" w:rsidRDefault="00210C22" w:rsidP="00947ED2">
      <w:pPr>
        <w:pStyle w:val="FootnoteText"/>
        <w:rPr>
          <w:sz w:val="2"/>
          <w:szCs w:val="2"/>
        </w:rPr>
      </w:pPr>
    </w:p>
  </w:footnote>
  <w:footnote w:id="5">
    <w:p w14:paraId="4D2D4C6A" w14:textId="77777777" w:rsidR="00210C22" w:rsidRPr="0068632D" w:rsidRDefault="00210C22" w:rsidP="00947ED2">
      <w:pPr>
        <w:pStyle w:val="FootnoteText"/>
        <w:rPr>
          <w:sz w:val="2"/>
          <w:szCs w:val="2"/>
        </w:rPr>
      </w:pPr>
    </w:p>
  </w:footnote>
  <w:footnote w:id="6">
    <w:p w14:paraId="5DD967DB" w14:textId="77777777" w:rsidR="00210C22" w:rsidRPr="0068632D" w:rsidRDefault="00210C22" w:rsidP="00947ED2">
      <w:pPr>
        <w:pStyle w:val="FootnoteText"/>
        <w:rPr>
          <w:sz w:val="2"/>
          <w:szCs w:val="2"/>
        </w:rPr>
      </w:pPr>
    </w:p>
  </w:footnote>
  <w:footnote w:id="7">
    <w:p w14:paraId="7872253B" w14:textId="77777777" w:rsidR="00210C22" w:rsidRDefault="00210C22" w:rsidP="00947ED2">
      <w:pPr>
        <w:pStyle w:val="FootnoteText"/>
      </w:pPr>
      <w:r>
        <w:rPr>
          <w:rStyle w:val="FootnoteReference"/>
        </w:rPr>
        <w:t>*</w:t>
      </w:r>
      <w:r>
        <w:t xml:space="preserve"> or background noise plus 5 </w:t>
      </w:r>
      <w:r w:rsidRPr="007672A1">
        <w:t>dB(A), whichever is the greater amount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4F3D4" w14:textId="548C1827" w:rsidR="00210C22" w:rsidRPr="006F365A" w:rsidRDefault="00210C22" w:rsidP="00C90C75">
    <w:pPr>
      <w:pStyle w:val="Header"/>
      <w:pBdr>
        <w:top w:val="single" w:sz="2" w:space="1" w:color="595959" w:themeColor="text1" w:themeTint="A6"/>
        <w:bottom w:val="single" w:sz="2" w:space="1" w:color="595959" w:themeColor="text1" w:themeTint="A6"/>
      </w:pBdr>
      <w:tabs>
        <w:tab w:val="left" w:pos="1260"/>
      </w:tabs>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DBA9C" w14:textId="18623AE1" w:rsidR="00210C22" w:rsidRDefault="00210C2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00EF4" w14:textId="1CA1C2E0" w:rsidR="00210C22" w:rsidRDefault="00210C2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C08D7" w14:textId="04BDCEBD" w:rsidR="00210C22" w:rsidRPr="006F365A" w:rsidRDefault="00210C22"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OVERVIEW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7A669" w14:textId="104E0851" w:rsidR="00210C22" w:rsidRPr="006F365A" w:rsidRDefault="00210C22"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OVERVIEW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DBD5C" w14:textId="1DAC08DC" w:rsidR="00210C22" w:rsidRDefault="00210C2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44249" w14:textId="6BDCB0D8" w:rsidR="00210C22" w:rsidRPr="006F365A" w:rsidRDefault="00210C22"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COMPLAINT MANAGEMENT</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2CF4D" w14:textId="00B0E774" w:rsidR="00210C22" w:rsidRPr="006F365A" w:rsidRDefault="00210C22"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WEBSITE DEVELOPMENT STAGES</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A62EA" w14:textId="21C26141" w:rsidR="00210C22" w:rsidRDefault="00210C22">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95E46" w14:textId="3919BA4E" w:rsidR="00210C22" w:rsidRPr="006F365A" w:rsidRDefault="00210C22"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STAKEHOLDER ENGAGEMENT</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C8130" w14:textId="0C793A68" w:rsidR="00210C22" w:rsidRDefault="00210C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F7062" w14:textId="36A3CD91" w:rsidR="00210C22" w:rsidRDefault="00210C22">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46FA5" w14:textId="2D83A41D" w:rsidR="00210C22" w:rsidRDefault="00210C22">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AE50" w14:textId="2E3BAB1A" w:rsidR="00210C22" w:rsidRPr="006F365A" w:rsidRDefault="00210C22"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UPDATED OBSERVATIONS AND RECOMMENDATIONS</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FBB08" w14:textId="2B0D04F3" w:rsidR="00210C22" w:rsidRDefault="00210C22">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24280" w14:textId="59B99E0C" w:rsidR="00210C22" w:rsidRDefault="00210C22">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B0B88" w14:textId="40F111AB" w:rsidR="00210C22" w:rsidRPr="006F365A" w:rsidRDefault="00210C22"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GLOSSARY</w:t>
    </w:r>
    <w:r>
      <w:rPr>
        <w:rFonts w:ascii="Calibri Light" w:hAnsi="Calibri Light"/>
        <w:b/>
        <w:color w:val="595959" w:themeColor="text1" w:themeTint="A6"/>
        <w:sz w:val="20"/>
        <w:szCs w:val="20"/>
        <w:lang w:val="en-US"/>
      </w:rPr>
      <w:tab/>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44F16" w14:textId="421FD19F" w:rsidR="00210C22" w:rsidRDefault="00210C22">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30E24" w14:textId="5439F9EF" w:rsidR="00210C22" w:rsidRDefault="00210C22">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F68C7" w14:textId="4F362F8C" w:rsidR="00210C22" w:rsidRPr="006F365A" w:rsidRDefault="00210C22"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A – TERMS OF REFERENCE</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7D2E1" w14:textId="7B3FA8C1" w:rsidR="00210C22" w:rsidRDefault="00210C22">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9C67A" w14:textId="40D99C2C" w:rsidR="00210C22" w:rsidRDefault="00210C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6B2C3" w14:textId="45121349" w:rsidR="00210C22" w:rsidRDefault="00210C22">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AF426" w14:textId="774914FB" w:rsidR="00210C22" w:rsidRPr="006F365A" w:rsidRDefault="00210C22"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B – COMPLAINT HANDLING POLICY</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BAF1D" w14:textId="6CCAF303" w:rsidR="00210C22" w:rsidRDefault="00210C22">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595C9" w14:textId="0439EF73" w:rsidR="00210C22" w:rsidRDefault="00210C22">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8070F" w14:textId="3DA3B0CC" w:rsidR="00210C22" w:rsidRPr="006F365A" w:rsidRDefault="00210C22"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APPENDIX C – INFORMATION HANDLING POLICY</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6A1CE" w14:textId="49B6C896" w:rsidR="00210C22" w:rsidRDefault="00210C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0C31A" w14:textId="48D1E0A4" w:rsidR="00210C22" w:rsidRDefault="00210C22" w:rsidP="00C90C75">
    <w:pPr>
      <w:spacing w:after="0"/>
      <w:jc w:val="center"/>
      <w:rPr>
        <w:rFonts w:ascii="Calibri" w:hAnsi="Calibri"/>
        <w:b/>
        <w:sz w:val="28"/>
        <w:szCs w:val="28"/>
      </w:rPr>
    </w:pPr>
    <w:r>
      <w:rPr>
        <w:rFonts w:ascii="Times New Roman" w:hAnsi="Times New Roman"/>
        <w:b/>
        <w:noProof/>
        <w:sz w:val="36"/>
        <w:szCs w:val="36"/>
        <w:lang w:eastAsia="en-AU"/>
      </w:rPr>
      <w:drawing>
        <wp:inline distT="0" distB="0" distL="0" distR="0" wp14:anchorId="1344EAD8" wp14:editId="55F22075">
          <wp:extent cx="857250" cy="723900"/>
          <wp:effectExtent l="19050" t="0" r="0" b="0"/>
          <wp:docPr id="11" name="Picture 11" descr="Crest -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 good!"/>
                  <pic:cNvPicPr>
                    <a:picLocks noChangeAspect="1" noChangeArrowheads="1"/>
                  </pic:cNvPicPr>
                </pic:nvPicPr>
                <pic:blipFill>
                  <a:blip r:embed="rId1"/>
                  <a:srcRect l="6934" t="9615" r="4741"/>
                  <a:stretch>
                    <a:fillRect/>
                  </a:stretch>
                </pic:blipFill>
                <pic:spPr bwMode="auto">
                  <a:xfrm>
                    <a:off x="0" y="0"/>
                    <a:ext cx="857250" cy="723900"/>
                  </a:xfrm>
                  <a:prstGeom prst="rect">
                    <a:avLst/>
                  </a:prstGeom>
                  <a:noFill/>
                  <a:ln w="9525">
                    <a:noFill/>
                    <a:miter lim="800000"/>
                    <a:headEnd/>
                    <a:tailEnd/>
                  </a:ln>
                </pic:spPr>
              </pic:pic>
            </a:graphicData>
          </a:graphic>
        </wp:inline>
      </w:drawing>
    </w:r>
  </w:p>
  <w:p w14:paraId="010994CA" w14:textId="77777777" w:rsidR="00210C22" w:rsidRPr="006048D4" w:rsidRDefault="00210C22" w:rsidP="00C90C75">
    <w:pPr>
      <w:spacing w:after="0"/>
      <w:jc w:val="center"/>
      <w:rPr>
        <w:rFonts w:ascii="Calibri" w:hAnsi="Calibri"/>
        <w:b/>
        <w:sz w:val="28"/>
        <w:szCs w:val="28"/>
      </w:rPr>
    </w:pPr>
    <w:r w:rsidRPr="006048D4">
      <w:rPr>
        <w:rFonts w:ascii="Calibri" w:hAnsi="Calibri"/>
        <w:b/>
        <w:sz w:val="28"/>
        <w:szCs w:val="28"/>
      </w:rPr>
      <w:t>Office of the National Wind Farm Commissioner</w:t>
    </w:r>
  </w:p>
  <w:p w14:paraId="679DC2C7" w14:textId="77777777" w:rsidR="00210C22" w:rsidRPr="006048D4" w:rsidRDefault="006F23F3" w:rsidP="00C90C75">
    <w:pPr>
      <w:pStyle w:val="Header"/>
      <w:rPr>
        <w:rFonts w:ascii="Calibri" w:hAnsi="Calibri"/>
        <w:sz w:val="20"/>
      </w:rPr>
    </w:pPr>
    <w:r>
      <w:rPr>
        <w:rFonts w:ascii="Calibri" w:hAnsi="Calibri"/>
        <w:sz w:val="20"/>
      </w:rPr>
      <w:pict w14:anchorId="44D406FD">
        <v:rect id="_x0000_i1025" style="width:481.9pt;height:1pt" o:hralign="center" o:hrstd="t" o:hrnoshade="t" o:hr="t" fillcolor="black [3213]" stroked="f"/>
      </w:pict>
    </w:r>
  </w:p>
  <w:p w14:paraId="2A462B61" w14:textId="77777777" w:rsidR="00210C22" w:rsidRPr="0096116D" w:rsidRDefault="00210C22" w:rsidP="00C90C7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CE911" w14:textId="39A57719" w:rsidR="00210C22" w:rsidRDefault="00210C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C9EE4" w14:textId="1BD6BECB" w:rsidR="00210C22" w:rsidRDefault="00210C2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2BFF3" w14:textId="617AA8AA" w:rsidR="00210C22" w:rsidRPr="006F365A" w:rsidRDefault="00210C22" w:rsidP="00C90C75">
    <w:pPr>
      <w:pStyle w:val="Header"/>
      <w:pBdr>
        <w:top w:val="single" w:sz="2" w:space="1" w:color="595959" w:themeColor="text1" w:themeTint="A6"/>
        <w:bottom w:val="single" w:sz="2" w:space="1" w:color="595959" w:themeColor="text1" w:themeTint="A6"/>
      </w:pBdr>
      <w:tabs>
        <w:tab w:val="left" w:pos="1260"/>
      </w:tabs>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CONTENTS</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9B81B" w14:textId="0B798802" w:rsidR="00210C22" w:rsidRDefault="00210C2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A33BD" w14:textId="50636607" w:rsidR="00210C22" w:rsidRPr="00C1107C" w:rsidRDefault="00210C22" w:rsidP="00C90C75">
    <w:pPr>
      <w:pStyle w:val="Header"/>
      <w:pBdr>
        <w:top w:val="single" w:sz="2" w:space="1" w:color="595959" w:themeColor="text1" w:themeTint="A6"/>
        <w:bottom w:val="single" w:sz="2" w:space="1" w:color="595959" w:themeColor="text1" w:themeTint="A6"/>
      </w:pBdr>
      <w:spacing w:after="240"/>
      <w:rPr>
        <w:rFonts w:ascii="Calibri Light" w:hAnsi="Calibri Light"/>
        <w:b/>
        <w:color w:val="595959" w:themeColor="text1" w:themeTint="A6"/>
        <w:sz w:val="20"/>
        <w:szCs w:val="20"/>
        <w:lang w:val="en-US"/>
      </w:rPr>
    </w:pPr>
    <w:r>
      <w:rPr>
        <w:rFonts w:ascii="Calibri Light" w:hAnsi="Calibri Light"/>
        <w:b/>
        <w:color w:val="595959" w:themeColor="text1" w:themeTint="A6"/>
        <w:sz w:val="20"/>
        <w:szCs w:val="20"/>
        <w:lang w:val="en-US"/>
      </w:rPr>
      <w:t>COMMISSIONER’S REVIEW</w:t>
    </w:r>
    <w:r>
      <w:rPr>
        <w:rFonts w:ascii="Calibri Light" w:hAnsi="Calibri Light"/>
        <w:b/>
        <w:color w:val="595959" w:themeColor="text1" w:themeTint="A6"/>
        <w:sz w:val="20"/>
        <w:szCs w:val="20"/>
        <w:lang w:val="en-US"/>
      </w:rPr>
      <w:tab/>
    </w:r>
    <w:r>
      <w:rPr>
        <w:rFonts w:ascii="Calibri Light" w:hAnsi="Calibri Light"/>
        <w:b/>
        <w:color w:val="595959" w:themeColor="text1" w:themeTint="A6"/>
        <w:sz w:val="20"/>
        <w:szCs w:val="20"/>
        <w:lang w:val="en-US"/>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066D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6EF3073"/>
    <w:multiLevelType w:val="hybridMultilevel"/>
    <w:tmpl w:val="EE3283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C6373C9"/>
    <w:multiLevelType w:val="hybridMultilevel"/>
    <w:tmpl w:val="4D42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105A7A"/>
    <w:multiLevelType w:val="hybridMultilevel"/>
    <w:tmpl w:val="8E1A2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5D6F62"/>
    <w:multiLevelType w:val="hybridMultilevel"/>
    <w:tmpl w:val="C51A2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DD4DA1"/>
    <w:multiLevelType w:val="hybridMultilevel"/>
    <w:tmpl w:val="CD20D93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7681ABC"/>
    <w:multiLevelType w:val="multilevel"/>
    <w:tmpl w:val="8EAE0A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DA40D3"/>
    <w:multiLevelType w:val="hybridMultilevel"/>
    <w:tmpl w:val="1C0AF51C"/>
    <w:lvl w:ilvl="0" w:tplc="FCCEF1E8">
      <w:start w:val="1"/>
      <w:numFmt w:val="lowerRoman"/>
      <w:lvlText w:val="%1."/>
      <w:lvlJc w:val="right"/>
      <w:pPr>
        <w:ind w:left="1800" w:hanging="360"/>
      </w:pPr>
    </w:lvl>
    <w:lvl w:ilvl="1" w:tplc="0C28D680" w:tentative="1">
      <w:start w:val="1"/>
      <w:numFmt w:val="lowerLetter"/>
      <w:lvlText w:val="%2."/>
      <w:lvlJc w:val="left"/>
      <w:pPr>
        <w:ind w:left="2520" w:hanging="360"/>
      </w:pPr>
    </w:lvl>
    <w:lvl w:ilvl="2" w:tplc="A8EC1012" w:tentative="1">
      <w:start w:val="1"/>
      <w:numFmt w:val="lowerRoman"/>
      <w:lvlText w:val="%3."/>
      <w:lvlJc w:val="right"/>
      <w:pPr>
        <w:ind w:left="3240" w:hanging="180"/>
      </w:pPr>
    </w:lvl>
    <w:lvl w:ilvl="3" w:tplc="BF40852E" w:tentative="1">
      <w:start w:val="1"/>
      <w:numFmt w:val="decimal"/>
      <w:lvlText w:val="%4."/>
      <w:lvlJc w:val="left"/>
      <w:pPr>
        <w:ind w:left="3960" w:hanging="360"/>
      </w:pPr>
    </w:lvl>
    <w:lvl w:ilvl="4" w:tplc="C31235FE" w:tentative="1">
      <w:start w:val="1"/>
      <w:numFmt w:val="lowerLetter"/>
      <w:lvlText w:val="%5."/>
      <w:lvlJc w:val="left"/>
      <w:pPr>
        <w:ind w:left="4680" w:hanging="360"/>
      </w:pPr>
    </w:lvl>
    <w:lvl w:ilvl="5" w:tplc="BBD429C6" w:tentative="1">
      <w:start w:val="1"/>
      <w:numFmt w:val="lowerRoman"/>
      <w:lvlText w:val="%6."/>
      <w:lvlJc w:val="right"/>
      <w:pPr>
        <w:ind w:left="5400" w:hanging="180"/>
      </w:pPr>
    </w:lvl>
    <w:lvl w:ilvl="6" w:tplc="11B24B18" w:tentative="1">
      <w:start w:val="1"/>
      <w:numFmt w:val="decimal"/>
      <w:lvlText w:val="%7."/>
      <w:lvlJc w:val="left"/>
      <w:pPr>
        <w:ind w:left="6120" w:hanging="360"/>
      </w:pPr>
    </w:lvl>
    <w:lvl w:ilvl="7" w:tplc="4C6A010A" w:tentative="1">
      <w:start w:val="1"/>
      <w:numFmt w:val="lowerLetter"/>
      <w:lvlText w:val="%8."/>
      <w:lvlJc w:val="left"/>
      <w:pPr>
        <w:ind w:left="6840" w:hanging="360"/>
      </w:pPr>
    </w:lvl>
    <w:lvl w:ilvl="8" w:tplc="537C180C" w:tentative="1">
      <w:start w:val="1"/>
      <w:numFmt w:val="lowerRoman"/>
      <w:lvlText w:val="%9."/>
      <w:lvlJc w:val="right"/>
      <w:pPr>
        <w:ind w:left="7560" w:hanging="180"/>
      </w:pPr>
    </w:lvl>
  </w:abstractNum>
  <w:abstractNum w:abstractNumId="9" w15:restartNumberingAfterBreak="0">
    <w:nsid w:val="19B97EDD"/>
    <w:multiLevelType w:val="multilevel"/>
    <w:tmpl w:val="7E283E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5D40C8"/>
    <w:multiLevelType w:val="hybridMultilevel"/>
    <w:tmpl w:val="82DCB7A4"/>
    <w:lvl w:ilvl="0" w:tplc="81C28E8E">
      <w:start w:val="1"/>
      <w:numFmt w:val="decimal"/>
      <w:lvlText w:val="10.%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FD27E0"/>
    <w:multiLevelType w:val="hybridMultilevel"/>
    <w:tmpl w:val="CFD84316"/>
    <w:lvl w:ilvl="0" w:tplc="AA0ACAB6">
      <w:start w:val="1"/>
      <w:numFmt w:val="bullet"/>
      <w:lvlText w:val=""/>
      <w:lvlJc w:val="left"/>
      <w:pPr>
        <w:ind w:left="720" w:hanging="360"/>
      </w:pPr>
      <w:rPr>
        <w:rFonts w:ascii="Symbol" w:hAnsi="Symbol" w:hint="default"/>
      </w:rPr>
    </w:lvl>
    <w:lvl w:ilvl="1" w:tplc="2666824E" w:tentative="1">
      <w:start w:val="1"/>
      <w:numFmt w:val="bullet"/>
      <w:lvlText w:val="o"/>
      <w:lvlJc w:val="left"/>
      <w:pPr>
        <w:ind w:left="1440" w:hanging="360"/>
      </w:pPr>
      <w:rPr>
        <w:rFonts w:ascii="Courier New" w:hAnsi="Courier New" w:cs="Courier New" w:hint="default"/>
      </w:rPr>
    </w:lvl>
    <w:lvl w:ilvl="2" w:tplc="72A238DC" w:tentative="1">
      <w:start w:val="1"/>
      <w:numFmt w:val="bullet"/>
      <w:lvlText w:val=""/>
      <w:lvlJc w:val="left"/>
      <w:pPr>
        <w:ind w:left="2160" w:hanging="360"/>
      </w:pPr>
      <w:rPr>
        <w:rFonts w:ascii="Wingdings" w:hAnsi="Wingdings" w:hint="default"/>
      </w:rPr>
    </w:lvl>
    <w:lvl w:ilvl="3" w:tplc="A86E2D70" w:tentative="1">
      <w:start w:val="1"/>
      <w:numFmt w:val="bullet"/>
      <w:lvlText w:val=""/>
      <w:lvlJc w:val="left"/>
      <w:pPr>
        <w:ind w:left="2880" w:hanging="360"/>
      </w:pPr>
      <w:rPr>
        <w:rFonts w:ascii="Symbol" w:hAnsi="Symbol" w:hint="default"/>
      </w:rPr>
    </w:lvl>
    <w:lvl w:ilvl="4" w:tplc="7354F314" w:tentative="1">
      <w:start w:val="1"/>
      <w:numFmt w:val="bullet"/>
      <w:lvlText w:val="o"/>
      <w:lvlJc w:val="left"/>
      <w:pPr>
        <w:ind w:left="3600" w:hanging="360"/>
      </w:pPr>
      <w:rPr>
        <w:rFonts w:ascii="Courier New" w:hAnsi="Courier New" w:cs="Courier New" w:hint="default"/>
      </w:rPr>
    </w:lvl>
    <w:lvl w:ilvl="5" w:tplc="FF4EE7D6" w:tentative="1">
      <w:start w:val="1"/>
      <w:numFmt w:val="bullet"/>
      <w:lvlText w:val=""/>
      <w:lvlJc w:val="left"/>
      <w:pPr>
        <w:ind w:left="4320" w:hanging="360"/>
      </w:pPr>
      <w:rPr>
        <w:rFonts w:ascii="Wingdings" w:hAnsi="Wingdings" w:hint="default"/>
      </w:rPr>
    </w:lvl>
    <w:lvl w:ilvl="6" w:tplc="7A72DAF6" w:tentative="1">
      <w:start w:val="1"/>
      <w:numFmt w:val="bullet"/>
      <w:lvlText w:val=""/>
      <w:lvlJc w:val="left"/>
      <w:pPr>
        <w:ind w:left="5040" w:hanging="360"/>
      </w:pPr>
      <w:rPr>
        <w:rFonts w:ascii="Symbol" w:hAnsi="Symbol" w:hint="default"/>
      </w:rPr>
    </w:lvl>
    <w:lvl w:ilvl="7" w:tplc="90F0C714" w:tentative="1">
      <w:start w:val="1"/>
      <w:numFmt w:val="bullet"/>
      <w:lvlText w:val="o"/>
      <w:lvlJc w:val="left"/>
      <w:pPr>
        <w:ind w:left="5760" w:hanging="360"/>
      </w:pPr>
      <w:rPr>
        <w:rFonts w:ascii="Courier New" w:hAnsi="Courier New" w:cs="Courier New" w:hint="default"/>
      </w:rPr>
    </w:lvl>
    <w:lvl w:ilvl="8" w:tplc="F0A6BE2C" w:tentative="1">
      <w:start w:val="1"/>
      <w:numFmt w:val="bullet"/>
      <w:lvlText w:val=""/>
      <w:lvlJc w:val="left"/>
      <w:pPr>
        <w:ind w:left="6480" w:hanging="360"/>
      </w:pPr>
      <w:rPr>
        <w:rFonts w:ascii="Wingdings" w:hAnsi="Wingdings" w:hint="default"/>
      </w:rPr>
    </w:lvl>
  </w:abstractNum>
  <w:abstractNum w:abstractNumId="12" w15:restartNumberingAfterBreak="0">
    <w:nsid w:val="28B03539"/>
    <w:multiLevelType w:val="multilevel"/>
    <w:tmpl w:val="2A729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28A085D"/>
    <w:multiLevelType w:val="multilevel"/>
    <w:tmpl w:val="31CE3C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B55AA4"/>
    <w:multiLevelType w:val="hybridMultilevel"/>
    <w:tmpl w:val="435A20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D675E43"/>
    <w:multiLevelType w:val="hybridMultilevel"/>
    <w:tmpl w:val="11F402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E615021"/>
    <w:multiLevelType w:val="hybridMultilevel"/>
    <w:tmpl w:val="953A490E"/>
    <w:lvl w:ilvl="0" w:tplc="0C090001">
      <w:start w:val="1"/>
      <w:numFmt w:val="bullet"/>
      <w:lvlText w:val=""/>
      <w:lvlJc w:val="left"/>
      <w:pPr>
        <w:ind w:left="717" w:hanging="360"/>
      </w:pPr>
      <w:rPr>
        <w:rFonts w:ascii="Symbol" w:hAnsi="Symbol" w:hint="default"/>
        <w:b w:val="0"/>
        <w:i w:val="0"/>
        <w:sz w:val="24"/>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9" w15:restartNumberingAfterBreak="0">
    <w:nsid w:val="40CD3B26"/>
    <w:multiLevelType w:val="hybridMultilevel"/>
    <w:tmpl w:val="01EE8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047CE7"/>
    <w:multiLevelType w:val="multilevel"/>
    <w:tmpl w:val="209ED6A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FA3C2D"/>
    <w:multiLevelType w:val="hybridMultilevel"/>
    <w:tmpl w:val="B95C82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A3457C5"/>
    <w:multiLevelType w:val="hybridMultilevel"/>
    <w:tmpl w:val="CA06D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6A16E8"/>
    <w:multiLevelType w:val="hybridMultilevel"/>
    <w:tmpl w:val="D5F234BC"/>
    <w:lvl w:ilvl="0" w:tplc="5526E784">
      <w:start w:val="1"/>
      <w:numFmt w:val="bullet"/>
      <w:lvlText w:val=""/>
      <w:lvlJc w:val="left"/>
      <w:pPr>
        <w:ind w:left="720" w:hanging="360"/>
      </w:pPr>
      <w:rPr>
        <w:rFonts w:ascii="Symbol" w:hAnsi="Symbol" w:hint="default"/>
      </w:rPr>
    </w:lvl>
    <w:lvl w:ilvl="1" w:tplc="4ADC5050" w:tentative="1">
      <w:start w:val="1"/>
      <w:numFmt w:val="bullet"/>
      <w:lvlText w:val="o"/>
      <w:lvlJc w:val="left"/>
      <w:pPr>
        <w:ind w:left="1440" w:hanging="360"/>
      </w:pPr>
      <w:rPr>
        <w:rFonts w:ascii="Courier New" w:hAnsi="Courier New" w:cs="Courier New" w:hint="default"/>
      </w:rPr>
    </w:lvl>
    <w:lvl w:ilvl="2" w:tplc="6444133C" w:tentative="1">
      <w:start w:val="1"/>
      <w:numFmt w:val="bullet"/>
      <w:lvlText w:val=""/>
      <w:lvlJc w:val="left"/>
      <w:pPr>
        <w:ind w:left="2160" w:hanging="360"/>
      </w:pPr>
      <w:rPr>
        <w:rFonts w:ascii="Wingdings" w:hAnsi="Wingdings" w:hint="default"/>
      </w:rPr>
    </w:lvl>
    <w:lvl w:ilvl="3" w:tplc="511643B2" w:tentative="1">
      <w:start w:val="1"/>
      <w:numFmt w:val="bullet"/>
      <w:lvlText w:val=""/>
      <w:lvlJc w:val="left"/>
      <w:pPr>
        <w:ind w:left="2880" w:hanging="360"/>
      </w:pPr>
      <w:rPr>
        <w:rFonts w:ascii="Symbol" w:hAnsi="Symbol" w:hint="default"/>
      </w:rPr>
    </w:lvl>
    <w:lvl w:ilvl="4" w:tplc="8CB453E6" w:tentative="1">
      <w:start w:val="1"/>
      <w:numFmt w:val="bullet"/>
      <w:lvlText w:val="o"/>
      <w:lvlJc w:val="left"/>
      <w:pPr>
        <w:ind w:left="3600" w:hanging="360"/>
      </w:pPr>
      <w:rPr>
        <w:rFonts w:ascii="Courier New" w:hAnsi="Courier New" w:cs="Courier New" w:hint="default"/>
      </w:rPr>
    </w:lvl>
    <w:lvl w:ilvl="5" w:tplc="F69E93E8" w:tentative="1">
      <w:start w:val="1"/>
      <w:numFmt w:val="bullet"/>
      <w:lvlText w:val=""/>
      <w:lvlJc w:val="left"/>
      <w:pPr>
        <w:ind w:left="4320" w:hanging="360"/>
      </w:pPr>
      <w:rPr>
        <w:rFonts w:ascii="Wingdings" w:hAnsi="Wingdings" w:hint="default"/>
      </w:rPr>
    </w:lvl>
    <w:lvl w:ilvl="6" w:tplc="BFEC51F4" w:tentative="1">
      <w:start w:val="1"/>
      <w:numFmt w:val="bullet"/>
      <w:lvlText w:val=""/>
      <w:lvlJc w:val="left"/>
      <w:pPr>
        <w:ind w:left="5040" w:hanging="360"/>
      </w:pPr>
      <w:rPr>
        <w:rFonts w:ascii="Symbol" w:hAnsi="Symbol" w:hint="default"/>
      </w:rPr>
    </w:lvl>
    <w:lvl w:ilvl="7" w:tplc="96FEFBBE" w:tentative="1">
      <w:start w:val="1"/>
      <w:numFmt w:val="bullet"/>
      <w:lvlText w:val="o"/>
      <w:lvlJc w:val="left"/>
      <w:pPr>
        <w:ind w:left="5760" w:hanging="360"/>
      </w:pPr>
      <w:rPr>
        <w:rFonts w:ascii="Courier New" w:hAnsi="Courier New" w:cs="Courier New" w:hint="default"/>
      </w:rPr>
    </w:lvl>
    <w:lvl w:ilvl="8" w:tplc="306C22A4" w:tentative="1">
      <w:start w:val="1"/>
      <w:numFmt w:val="bullet"/>
      <w:lvlText w:val=""/>
      <w:lvlJc w:val="left"/>
      <w:pPr>
        <w:ind w:left="6480" w:hanging="360"/>
      </w:pPr>
      <w:rPr>
        <w:rFonts w:ascii="Wingdings" w:hAnsi="Wingdings" w:hint="default"/>
      </w:rPr>
    </w:lvl>
  </w:abstractNum>
  <w:abstractNum w:abstractNumId="24" w15:restartNumberingAfterBreak="0">
    <w:nsid w:val="65456429"/>
    <w:multiLevelType w:val="multilevel"/>
    <w:tmpl w:val="E898CC72"/>
    <w:numStyleLink w:val="KeyPoints"/>
  </w:abstractNum>
  <w:abstractNum w:abstractNumId="25" w15:restartNumberingAfterBreak="0">
    <w:nsid w:val="67D177EA"/>
    <w:multiLevelType w:val="hybridMultilevel"/>
    <w:tmpl w:val="1E503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E91DB9"/>
    <w:multiLevelType w:val="hybridMultilevel"/>
    <w:tmpl w:val="FB1878EE"/>
    <w:lvl w:ilvl="0" w:tplc="0C090001">
      <w:start w:val="1"/>
      <w:numFmt w:val="bullet"/>
      <w:lvlText w:val=""/>
      <w:lvlJc w:val="left"/>
      <w:pPr>
        <w:ind w:left="1944" w:hanging="360"/>
      </w:pPr>
      <w:rPr>
        <w:rFonts w:ascii="Symbol" w:hAnsi="Symbo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27" w15:restartNumberingAfterBreak="0">
    <w:nsid w:val="6C5C5676"/>
    <w:multiLevelType w:val="hybridMultilevel"/>
    <w:tmpl w:val="8B6AEC2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6F902B67"/>
    <w:multiLevelType w:val="hybridMultilevel"/>
    <w:tmpl w:val="936AC144"/>
    <w:lvl w:ilvl="0" w:tplc="0C090017">
      <w:start w:val="1"/>
      <w:numFmt w:val="lowerLetter"/>
      <w:lvlText w:val="%1)"/>
      <w:lvlJc w:val="left"/>
      <w:pPr>
        <w:ind w:left="360" w:hanging="360"/>
      </w:pPr>
      <w:rPr>
        <w:rFonts w:hint="default"/>
        <w:b w:val="0"/>
        <w:i w:val="0"/>
        <w:sz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0704C6E"/>
    <w:multiLevelType w:val="hybridMultilevel"/>
    <w:tmpl w:val="E1368014"/>
    <w:lvl w:ilvl="0" w:tplc="8CF28530">
      <w:start w:val="1"/>
      <w:numFmt w:val="decimal"/>
      <w:lvlText w:val="%1."/>
      <w:lvlJc w:val="left"/>
      <w:pPr>
        <w:ind w:left="360" w:hanging="360"/>
      </w:pPr>
      <w:rPr>
        <w:rFonts w:hint="default"/>
        <w:i w:val="0"/>
      </w:rPr>
    </w:lvl>
    <w:lvl w:ilvl="1" w:tplc="1786C5B8">
      <w:start w:val="1"/>
      <w:numFmt w:val="lowerRoman"/>
      <w:lvlText w:val="%2."/>
      <w:lvlJc w:val="left"/>
      <w:pPr>
        <w:ind w:left="1440" w:hanging="720"/>
      </w:pPr>
      <w:rPr>
        <w:rFonts w:hint="default"/>
      </w:rPr>
    </w:lvl>
    <w:lvl w:ilvl="2" w:tplc="C2E8F1A2" w:tentative="1">
      <w:start w:val="1"/>
      <w:numFmt w:val="lowerRoman"/>
      <w:lvlText w:val="%3."/>
      <w:lvlJc w:val="right"/>
      <w:pPr>
        <w:ind w:left="1800" w:hanging="180"/>
      </w:pPr>
    </w:lvl>
    <w:lvl w:ilvl="3" w:tplc="9D7C2B62" w:tentative="1">
      <w:start w:val="1"/>
      <w:numFmt w:val="decimal"/>
      <w:lvlText w:val="%4."/>
      <w:lvlJc w:val="left"/>
      <w:pPr>
        <w:ind w:left="2520" w:hanging="360"/>
      </w:pPr>
    </w:lvl>
    <w:lvl w:ilvl="4" w:tplc="B13AB28E" w:tentative="1">
      <w:start w:val="1"/>
      <w:numFmt w:val="lowerLetter"/>
      <w:lvlText w:val="%5."/>
      <w:lvlJc w:val="left"/>
      <w:pPr>
        <w:ind w:left="3240" w:hanging="360"/>
      </w:pPr>
    </w:lvl>
    <w:lvl w:ilvl="5" w:tplc="96BADBAE" w:tentative="1">
      <w:start w:val="1"/>
      <w:numFmt w:val="lowerRoman"/>
      <w:lvlText w:val="%6."/>
      <w:lvlJc w:val="right"/>
      <w:pPr>
        <w:ind w:left="3960" w:hanging="180"/>
      </w:pPr>
    </w:lvl>
    <w:lvl w:ilvl="6" w:tplc="3BC69446" w:tentative="1">
      <w:start w:val="1"/>
      <w:numFmt w:val="decimal"/>
      <w:lvlText w:val="%7."/>
      <w:lvlJc w:val="left"/>
      <w:pPr>
        <w:ind w:left="4680" w:hanging="360"/>
      </w:pPr>
    </w:lvl>
    <w:lvl w:ilvl="7" w:tplc="CA54AA04" w:tentative="1">
      <w:start w:val="1"/>
      <w:numFmt w:val="lowerLetter"/>
      <w:lvlText w:val="%8."/>
      <w:lvlJc w:val="left"/>
      <w:pPr>
        <w:ind w:left="5400" w:hanging="360"/>
      </w:pPr>
    </w:lvl>
    <w:lvl w:ilvl="8" w:tplc="D3CCD124" w:tentative="1">
      <w:start w:val="1"/>
      <w:numFmt w:val="lowerRoman"/>
      <w:lvlText w:val="%9."/>
      <w:lvlJc w:val="right"/>
      <w:pPr>
        <w:ind w:left="6120" w:hanging="180"/>
      </w:pPr>
    </w:lvl>
  </w:abstractNum>
  <w:abstractNum w:abstractNumId="30" w15:restartNumberingAfterBreak="0">
    <w:nsid w:val="73206F69"/>
    <w:multiLevelType w:val="singleLevel"/>
    <w:tmpl w:val="0C090003"/>
    <w:lvl w:ilvl="0">
      <w:start w:val="1"/>
      <w:numFmt w:val="bullet"/>
      <w:pStyle w:val="ListBullet4"/>
      <w:lvlText w:val="o"/>
      <w:lvlJc w:val="left"/>
      <w:pPr>
        <w:ind w:left="369" w:hanging="369"/>
      </w:pPr>
      <w:rPr>
        <w:rFonts w:ascii="Courier New" w:hAnsi="Courier New" w:cs="Courier New" w:hint="default"/>
      </w:rPr>
    </w:lvl>
  </w:abstractNum>
  <w:abstractNum w:abstractNumId="31" w15:restartNumberingAfterBreak="0">
    <w:nsid w:val="73A83D87"/>
    <w:multiLevelType w:val="hybridMultilevel"/>
    <w:tmpl w:val="5B4626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3AB2B54"/>
    <w:multiLevelType w:val="hybridMultilevel"/>
    <w:tmpl w:val="EEB2D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4" w15:restartNumberingAfterBreak="0">
    <w:nsid w:val="7A304323"/>
    <w:multiLevelType w:val="hybridMultilevel"/>
    <w:tmpl w:val="98A22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874A27"/>
    <w:multiLevelType w:val="hybridMultilevel"/>
    <w:tmpl w:val="D8DE7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15"/>
  </w:num>
  <w:num w:numId="4">
    <w:abstractNumId w:val="13"/>
  </w:num>
  <w:num w:numId="5">
    <w:abstractNumId w:val="24"/>
    <w:lvlOverride w:ilvl="0">
      <w:lvl w:ilvl="0">
        <w:start w:val="1"/>
        <w:numFmt w:val="decimal"/>
        <w:pStyle w:val="ListNumber"/>
        <w:lvlText w:val="%1."/>
        <w:lvlJc w:val="left"/>
        <w:pPr>
          <w:ind w:left="369" w:hanging="369"/>
        </w:pPr>
        <w:rPr>
          <w:rFonts w:ascii="Calibri Light" w:hAnsi="Calibri Light" w:hint="default"/>
          <w:sz w:val="22"/>
        </w:rPr>
      </w:lvl>
    </w:lvlOverride>
  </w:num>
  <w:num w:numId="6">
    <w:abstractNumId w:val="30"/>
  </w:num>
  <w:num w:numId="7">
    <w:abstractNumId w:val="4"/>
  </w:num>
  <w:num w:numId="8">
    <w:abstractNumId w:val="20"/>
  </w:num>
  <w:num w:numId="9">
    <w:abstractNumId w:val="16"/>
  </w:num>
  <w:num w:numId="10">
    <w:abstractNumId w:val="21"/>
  </w:num>
  <w:num w:numId="11">
    <w:abstractNumId w:val="26"/>
  </w:num>
  <w:num w:numId="12">
    <w:abstractNumId w:val="17"/>
  </w:num>
  <w:num w:numId="13">
    <w:abstractNumId w:val="6"/>
  </w:num>
  <w:num w:numId="14">
    <w:abstractNumId w:val="27"/>
  </w:num>
  <w:num w:numId="15">
    <w:abstractNumId w:val="12"/>
  </w:num>
  <w:num w:numId="16">
    <w:abstractNumId w:val="9"/>
  </w:num>
  <w:num w:numId="17">
    <w:abstractNumId w:val="14"/>
  </w:num>
  <w:num w:numId="18">
    <w:abstractNumId w:val="7"/>
  </w:num>
  <w:num w:numId="19">
    <w:abstractNumId w:val="23"/>
  </w:num>
  <w:num w:numId="20">
    <w:abstractNumId w:val="11"/>
  </w:num>
  <w:num w:numId="21">
    <w:abstractNumId w:val="29"/>
  </w:num>
  <w:num w:numId="22">
    <w:abstractNumId w:val="8"/>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8"/>
  </w:num>
  <w:num w:numId="26">
    <w:abstractNumId w:val="0"/>
  </w:num>
  <w:num w:numId="27">
    <w:abstractNumId w:val="34"/>
  </w:num>
  <w:num w:numId="28">
    <w:abstractNumId w:val="3"/>
  </w:num>
  <w:num w:numId="29">
    <w:abstractNumId w:val="35"/>
  </w:num>
  <w:num w:numId="30">
    <w:abstractNumId w:val="5"/>
  </w:num>
  <w:num w:numId="31">
    <w:abstractNumId w:val="31"/>
  </w:num>
  <w:num w:numId="32">
    <w:abstractNumId w:val="2"/>
  </w:num>
  <w:num w:numId="33">
    <w:abstractNumId w:val="22"/>
  </w:num>
  <w:num w:numId="34">
    <w:abstractNumId w:val="32"/>
  </w:num>
  <w:num w:numId="35">
    <w:abstractNumId w:val="10"/>
  </w:num>
  <w:num w:numId="36">
    <w:abstractNumId w:val="19"/>
  </w:num>
  <w:num w:numId="37">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91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E7"/>
    <w:rsid w:val="000041E8"/>
    <w:rsid w:val="00007830"/>
    <w:rsid w:val="00010811"/>
    <w:rsid w:val="00012BD7"/>
    <w:rsid w:val="0001336F"/>
    <w:rsid w:val="000160E7"/>
    <w:rsid w:val="0001612D"/>
    <w:rsid w:val="000237A1"/>
    <w:rsid w:val="00027BA3"/>
    <w:rsid w:val="0003161D"/>
    <w:rsid w:val="00044144"/>
    <w:rsid w:val="00056BE4"/>
    <w:rsid w:val="00060094"/>
    <w:rsid w:val="00070FE7"/>
    <w:rsid w:val="00071F68"/>
    <w:rsid w:val="00074E69"/>
    <w:rsid w:val="00075990"/>
    <w:rsid w:val="00080CEC"/>
    <w:rsid w:val="00086A5D"/>
    <w:rsid w:val="00086B76"/>
    <w:rsid w:val="00086D63"/>
    <w:rsid w:val="00091D95"/>
    <w:rsid w:val="000945B7"/>
    <w:rsid w:val="0009535D"/>
    <w:rsid w:val="000953ED"/>
    <w:rsid w:val="000C004D"/>
    <w:rsid w:val="000C3931"/>
    <w:rsid w:val="000C65CA"/>
    <w:rsid w:val="000D39A3"/>
    <w:rsid w:val="000E16D4"/>
    <w:rsid w:val="000E4312"/>
    <w:rsid w:val="000F516F"/>
    <w:rsid w:val="00101AED"/>
    <w:rsid w:val="001051F8"/>
    <w:rsid w:val="00106950"/>
    <w:rsid w:val="001071DF"/>
    <w:rsid w:val="00116524"/>
    <w:rsid w:val="0011762E"/>
    <w:rsid w:val="001209F9"/>
    <w:rsid w:val="00126705"/>
    <w:rsid w:val="00127DA6"/>
    <w:rsid w:val="00131081"/>
    <w:rsid w:val="00132612"/>
    <w:rsid w:val="00134C44"/>
    <w:rsid w:val="00135B37"/>
    <w:rsid w:val="00140A22"/>
    <w:rsid w:val="00140FAA"/>
    <w:rsid w:val="00141314"/>
    <w:rsid w:val="00154694"/>
    <w:rsid w:val="00154D60"/>
    <w:rsid w:val="00160BE4"/>
    <w:rsid w:val="00164765"/>
    <w:rsid w:val="001647EC"/>
    <w:rsid w:val="001660C2"/>
    <w:rsid w:val="0017092D"/>
    <w:rsid w:val="00173E3C"/>
    <w:rsid w:val="00174120"/>
    <w:rsid w:val="00174911"/>
    <w:rsid w:val="0018149E"/>
    <w:rsid w:val="001815C1"/>
    <w:rsid w:val="00181FE7"/>
    <w:rsid w:val="00183A15"/>
    <w:rsid w:val="001913E9"/>
    <w:rsid w:val="0019146B"/>
    <w:rsid w:val="001A0125"/>
    <w:rsid w:val="001A04B0"/>
    <w:rsid w:val="001A3187"/>
    <w:rsid w:val="001A3640"/>
    <w:rsid w:val="001A3F6C"/>
    <w:rsid w:val="001A6C25"/>
    <w:rsid w:val="001A795E"/>
    <w:rsid w:val="001B03D7"/>
    <w:rsid w:val="001B0419"/>
    <w:rsid w:val="001C19BE"/>
    <w:rsid w:val="001D1173"/>
    <w:rsid w:val="001E1E69"/>
    <w:rsid w:val="001E3CF6"/>
    <w:rsid w:val="001E47E7"/>
    <w:rsid w:val="001F1909"/>
    <w:rsid w:val="001F2BF8"/>
    <w:rsid w:val="001F2D10"/>
    <w:rsid w:val="002007E4"/>
    <w:rsid w:val="00203F64"/>
    <w:rsid w:val="00206F39"/>
    <w:rsid w:val="00210C22"/>
    <w:rsid w:val="0021215E"/>
    <w:rsid w:val="0021506B"/>
    <w:rsid w:val="00216BF4"/>
    <w:rsid w:val="00221467"/>
    <w:rsid w:val="00222F6A"/>
    <w:rsid w:val="0022537A"/>
    <w:rsid w:val="002254AB"/>
    <w:rsid w:val="0022646F"/>
    <w:rsid w:val="0023507D"/>
    <w:rsid w:val="002350B7"/>
    <w:rsid w:val="002367F4"/>
    <w:rsid w:val="00244998"/>
    <w:rsid w:val="00244E35"/>
    <w:rsid w:val="00246797"/>
    <w:rsid w:val="00251216"/>
    <w:rsid w:val="0025228E"/>
    <w:rsid w:val="002569FE"/>
    <w:rsid w:val="0025735C"/>
    <w:rsid w:val="002624BA"/>
    <w:rsid w:val="0026395F"/>
    <w:rsid w:val="00272BF7"/>
    <w:rsid w:val="0027687B"/>
    <w:rsid w:val="0027719B"/>
    <w:rsid w:val="0028168A"/>
    <w:rsid w:val="002879A1"/>
    <w:rsid w:val="00295544"/>
    <w:rsid w:val="00295B7E"/>
    <w:rsid w:val="002A2135"/>
    <w:rsid w:val="002A6011"/>
    <w:rsid w:val="002A63CB"/>
    <w:rsid w:val="002A70E8"/>
    <w:rsid w:val="002B21E5"/>
    <w:rsid w:val="002C7B40"/>
    <w:rsid w:val="002D214A"/>
    <w:rsid w:val="002D2343"/>
    <w:rsid w:val="002D3012"/>
    <w:rsid w:val="002D507D"/>
    <w:rsid w:val="002D5A92"/>
    <w:rsid w:val="002D5D1B"/>
    <w:rsid w:val="002D726F"/>
    <w:rsid w:val="002E13ED"/>
    <w:rsid w:val="002E226F"/>
    <w:rsid w:val="002E4DF0"/>
    <w:rsid w:val="002E62EE"/>
    <w:rsid w:val="002F0B0D"/>
    <w:rsid w:val="002F32FB"/>
    <w:rsid w:val="002F3729"/>
    <w:rsid w:val="002F637C"/>
    <w:rsid w:val="00304F3A"/>
    <w:rsid w:val="003074BE"/>
    <w:rsid w:val="0032273D"/>
    <w:rsid w:val="0032384D"/>
    <w:rsid w:val="00326A7F"/>
    <w:rsid w:val="00342E52"/>
    <w:rsid w:val="00345CFC"/>
    <w:rsid w:val="00351571"/>
    <w:rsid w:val="00352050"/>
    <w:rsid w:val="003529A0"/>
    <w:rsid w:val="00353BC0"/>
    <w:rsid w:val="0036016D"/>
    <w:rsid w:val="003605D4"/>
    <w:rsid w:val="00364DCB"/>
    <w:rsid w:val="00365784"/>
    <w:rsid w:val="003700EE"/>
    <w:rsid w:val="00370CD6"/>
    <w:rsid w:val="00373672"/>
    <w:rsid w:val="00380BD1"/>
    <w:rsid w:val="00386DE6"/>
    <w:rsid w:val="00387948"/>
    <w:rsid w:val="003916B2"/>
    <w:rsid w:val="00391FA9"/>
    <w:rsid w:val="00395879"/>
    <w:rsid w:val="00397330"/>
    <w:rsid w:val="003B23DC"/>
    <w:rsid w:val="003B3F72"/>
    <w:rsid w:val="003B4A65"/>
    <w:rsid w:val="003C06D4"/>
    <w:rsid w:val="003C1423"/>
    <w:rsid w:val="003C34D6"/>
    <w:rsid w:val="003C5F9F"/>
    <w:rsid w:val="003D3FBE"/>
    <w:rsid w:val="003D5C93"/>
    <w:rsid w:val="003D710F"/>
    <w:rsid w:val="003E12C5"/>
    <w:rsid w:val="003E3C0F"/>
    <w:rsid w:val="003E53CB"/>
    <w:rsid w:val="003F2AF7"/>
    <w:rsid w:val="003F3EF9"/>
    <w:rsid w:val="003F6111"/>
    <w:rsid w:val="00407C7D"/>
    <w:rsid w:val="00412E8D"/>
    <w:rsid w:val="00416A3D"/>
    <w:rsid w:val="00417BC5"/>
    <w:rsid w:val="00420C8B"/>
    <w:rsid w:val="00423A2B"/>
    <w:rsid w:val="00425201"/>
    <w:rsid w:val="00425A42"/>
    <w:rsid w:val="00426380"/>
    <w:rsid w:val="00427975"/>
    <w:rsid w:val="00437F6B"/>
    <w:rsid w:val="0044051C"/>
    <w:rsid w:val="0044134D"/>
    <w:rsid w:val="00446263"/>
    <w:rsid w:val="00453089"/>
    <w:rsid w:val="00456FC5"/>
    <w:rsid w:val="004606F6"/>
    <w:rsid w:val="00460DD9"/>
    <w:rsid w:val="00462269"/>
    <w:rsid w:val="0046359B"/>
    <w:rsid w:val="004644C1"/>
    <w:rsid w:val="004647DB"/>
    <w:rsid w:val="00466460"/>
    <w:rsid w:val="004700C5"/>
    <w:rsid w:val="0047410B"/>
    <w:rsid w:val="00474CB5"/>
    <w:rsid w:val="004801EC"/>
    <w:rsid w:val="00482A63"/>
    <w:rsid w:val="00482B8B"/>
    <w:rsid w:val="004849A2"/>
    <w:rsid w:val="00487DFD"/>
    <w:rsid w:val="0049089E"/>
    <w:rsid w:val="0049797D"/>
    <w:rsid w:val="00497CE0"/>
    <w:rsid w:val="00497E06"/>
    <w:rsid w:val="004A07FB"/>
    <w:rsid w:val="004B03D9"/>
    <w:rsid w:val="004B3AB7"/>
    <w:rsid w:val="004B599F"/>
    <w:rsid w:val="004B7015"/>
    <w:rsid w:val="004B710C"/>
    <w:rsid w:val="004C31A6"/>
    <w:rsid w:val="004C55D1"/>
    <w:rsid w:val="004C5A7B"/>
    <w:rsid w:val="004D0F84"/>
    <w:rsid w:val="004E5DCA"/>
    <w:rsid w:val="004E61B1"/>
    <w:rsid w:val="004E657F"/>
    <w:rsid w:val="004F5F3D"/>
    <w:rsid w:val="00500F66"/>
    <w:rsid w:val="00506D17"/>
    <w:rsid w:val="005077F9"/>
    <w:rsid w:val="00512B42"/>
    <w:rsid w:val="0051475C"/>
    <w:rsid w:val="00517FE9"/>
    <w:rsid w:val="0052032C"/>
    <w:rsid w:val="0052117D"/>
    <w:rsid w:val="005302ED"/>
    <w:rsid w:val="0053103B"/>
    <w:rsid w:val="00543EEE"/>
    <w:rsid w:val="00544265"/>
    <w:rsid w:val="00561935"/>
    <w:rsid w:val="00563A75"/>
    <w:rsid w:val="00567FE6"/>
    <w:rsid w:val="0057754E"/>
    <w:rsid w:val="00581966"/>
    <w:rsid w:val="00582332"/>
    <w:rsid w:val="00583545"/>
    <w:rsid w:val="005874E7"/>
    <w:rsid w:val="005904E8"/>
    <w:rsid w:val="005920B0"/>
    <w:rsid w:val="005A0E9F"/>
    <w:rsid w:val="005A3B2A"/>
    <w:rsid w:val="005A5B16"/>
    <w:rsid w:val="005A6C5D"/>
    <w:rsid w:val="005A7F1F"/>
    <w:rsid w:val="005B0030"/>
    <w:rsid w:val="005B6EC6"/>
    <w:rsid w:val="005B70CD"/>
    <w:rsid w:val="005C332C"/>
    <w:rsid w:val="005C47F8"/>
    <w:rsid w:val="005C5D3B"/>
    <w:rsid w:val="005C662E"/>
    <w:rsid w:val="005C6D3A"/>
    <w:rsid w:val="005D0BAA"/>
    <w:rsid w:val="005D59C9"/>
    <w:rsid w:val="005E01FD"/>
    <w:rsid w:val="005E0434"/>
    <w:rsid w:val="005E1525"/>
    <w:rsid w:val="005E20F5"/>
    <w:rsid w:val="005E2B10"/>
    <w:rsid w:val="005E538C"/>
    <w:rsid w:val="005E55A1"/>
    <w:rsid w:val="005F07A6"/>
    <w:rsid w:val="005F1CED"/>
    <w:rsid w:val="005F3366"/>
    <w:rsid w:val="005F5472"/>
    <w:rsid w:val="00600C95"/>
    <w:rsid w:val="0061124A"/>
    <w:rsid w:val="00611663"/>
    <w:rsid w:val="0061509B"/>
    <w:rsid w:val="0061645B"/>
    <w:rsid w:val="00617B64"/>
    <w:rsid w:val="0062005C"/>
    <w:rsid w:val="0062133B"/>
    <w:rsid w:val="00622024"/>
    <w:rsid w:val="00627724"/>
    <w:rsid w:val="00633382"/>
    <w:rsid w:val="00633739"/>
    <w:rsid w:val="00636CAA"/>
    <w:rsid w:val="0064486F"/>
    <w:rsid w:val="00644B1D"/>
    <w:rsid w:val="00645B61"/>
    <w:rsid w:val="006464A3"/>
    <w:rsid w:val="00646B4E"/>
    <w:rsid w:val="00652BC3"/>
    <w:rsid w:val="006548FB"/>
    <w:rsid w:val="00657BCC"/>
    <w:rsid w:val="0066330F"/>
    <w:rsid w:val="00666212"/>
    <w:rsid w:val="00666766"/>
    <w:rsid w:val="00666799"/>
    <w:rsid w:val="00675818"/>
    <w:rsid w:val="00676EAE"/>
    <w:rsid w:val="00684C42"/>
    <w:rsid w:val="0068567F"/>
    <w:rsid w:val="006867A3"/>
    <w:rsid w:val="00686E78"/>
    <w:rsid w:val="006960BA"/>
    <w:rsid w:val="006A0BB2"/>
    <w:rsid w:val="006A2474"/>
    <w:rsid w:val="006A260B"/>
    <w:rsid w:val="006A44AE"/>
    <w:rsid w:val="006A54E6"/>
    <w:rsid w:val="006A795E"/>
    <w:rsid w:val="006B02BB"/>
    <w:rsid w:val="006B167E"/>
    <w:rsid w:val="006C27AF"/>
    <w:rsid w:val="006D2BC2"/>
    <w:rsid w:val="006D2DB2"/>
    <w:rsid w:val="006E072D"/>
    <w:rsid w:val="006E3513"/>
    <w:rsid w:val="006E3CE7"/>
    <w:rsid w:val="006E4324"/>
    <w:rsid w:val="006F23F3"/>
    <w:rsid w:val="006F42E4"/>
    <w:rsid w:val="006F64B5"/>
    <w:rsid w:val="006F6C7E"/>
    <w:rsid w:val="00700979"/>
    <w:rsid w:val="00710466"/>
    <w:rsid w:val="0071272E"/>
    <w:rsid w:val="00720274"/>
    <w:rsid w:val="007213D1"/>
    <w:rsid w:val="00722B98"/>
    <w:rsid w:val="00726AAF"/>
    <w:rsid w:val="00736568"/>
    <w:rsid w:val="007376C0"/>
    <w:rsid w:val="00741B96"/>
    <w:rsid w:val="0074209F"/>
    <w:rsid w:val="00743490"/>
    <w:rsid w:val="00752949"/>
    <w:rsid w:val="00752D65"/>
    <w:rsid w:val="00763705"/>
    <w:rsid w:val="007638D6"/>
    <w:rsid w:val="00771164"/>
    <w:rsid w:val="00777362"/>
    <w:rsid w:val="00780536"/>
    <w:rsid w:val="00781A26"/>
    <w:rsid w:val="0078423B"/>
    <w:rsid w:val="00785FA8"/>
    <w:rsid w:val="00786443"/>
    <w:rsid w:val="00794FE4"/>
    <w:rsid w:val="007955E7"/>
    <w:rsid w:val="0079625A"/>
    <w:rsid w:val="007A0C20"/>
    <w:rsid w:val="007B10E5"/>
    <w:rsid w:val="007B2443"/>
    <w:rsid w:val="007B2A79"/>
    <w:rsid w:val="007C04E0"/>
    <w:rsid w:val="007C0C62"/>
    <w:rsid w:val="007C1755"/>
    <w:rsid w:val="007C1919"/>
    <w:rsid w:val="007C1D6E"/>
    <w:rsid w:val="007C4772"/>
    <w:rsid w:val="007C4C58"/>
    <w:rsid w:val="007C769E"/>
    <w:rsid w:val="007D0073"/>
    <w:rsid w:val="007D0ADC"/>
    <w:rsid w:val="007D19E5"/>
    <w:rsid w:val="007D5E8B"/>
    <w:rsid w:val="007E08CB"/>
    <w:rsid w:val="007E1923"/>
    <w:rsid w:val="007E2B56"/>
    <w:rsid w:val="007E5AFC"/>
    <w:rsid w:val="007F0B4E"/>
    <w:rsid w:val="008039BA"/>
    <w:rsid w:val="00806741"/>
    <w:rsid w:val="008076B7"/>
    <w:rsid w:val="0080779E"/>
    <w:rsid w:val="0081142A"/>
    <w:rsid w:val="00811506"/>
    <w:rsid w:val="00813A4E"/>
    <w:rsid w:val="008247F6"/>
    <w:rsid w:val="0083029A"/>
    <w:rsid w:val="00830BF9"/>
    <w:rsid w:val="008311F0"/>
    <w:rsid w:val="00831A6C"/>
    <w:rsid w:val="00835451"/>
    <w:rsid w:val="0084060A"/>
    <w:rsid w:val="008424BE"/>
    <w:rsid w:val="00842B5C"/>
    <w:rsid w:val="008442FC"/>
    <w:rsid w:val="0084728C"/>
    <w:rsid w:val="00850722"/>
    <w:rsid w:val="00850D8D"/>
    <w:rsid w:val="00851C16"/>
    <w:rsid w:val="00857C81"/>
    <w:rsid w:val="00861547"/>
    <w:rsid w:val="008616B1"/>
    <w:rsid w:val="00862BD1"/>
    <w:rsid w:val="00863BD8"/>
    <w:rsid w:val="00864A0C"/>
    <w:rsid w:val="008821AA"/>
    <w:rsid w:val="008838FF"/>
    <w:rsid w:val="008931D2"/>
    <w:rsid w:val="008A05B2"/>
    <w:rsid w:val="008A0F5A"/>
    <w:rsid w:val="008A237D"/>
    <w:rsid w:val="008A7309"/>
    <w:rsid w:val="008B45AF"/>
    <w:rsid w:val="008B53BF"/>
    <w:rsid w:val="008B6522"/>
    <w:rsid w:val="008C43B9"/>
    <w:rsid w:val="008D0D0E"/>
    <w:rsid w:val="008D5BC6"/>
    <w:rsid w:val="008D70C2"/>
    <w:rsid w:val="008E0340"/>
    <w:rsid w:val="008E460A"/>
    <w:rsid w:val="008F0093"/>
    <w:rsid w:val="008F0749"/>
    <w:rsid w:val="008F18DD"/>
    <w:rsid w:val="008F5A99"/>
    <w:rsid w:val="008F63B1"/>
    <w:rsid w:val="008F7ED9"/>
    <w:rsid w:val="00906F62"/>
    <w:rsid w:val="00910FD3"/>
    <w:rsid w:val="00914661"/>
    <w:rsid w:val="0091631D"/>
    <w:rsid w:val="009250E8"/>
    <w:rsid w:val="00925761"/>
    <w:rsid w:val="00934D83"/>
    <w:rsid w:val="009364D0"/>
    <w:rsid w:val="009378F4"/>
    <w:rsid w:val="00940506"/>
    <w:rsid w:val="00941F58"/>
    <w:rsid w:val="00944D3D"/>
    <w:rsid w:val="00945B03"/>
    <w:rsid w:val="00947ED2"/>
    <w:rsid w:val="00955781"/>
    <w:rsid w:val="00956A2F"/>
    <w:rsid w:val="00957038"/>
    <w:rsid w:val="00964206"/>
    <w:rsid w:val="009666A1"/>
    <w:rsid w:val="00971989"/>
    <w:rsid w:val="009805B3"/>
    <w:rsid w:val="00986024"/>
    <w:rsid w:val="009926F3"/>
    <w:rsid w:val="009A00AA"/>
    <w:rsid w:val="009A0399"/>
    <w:rsid w:val="009A0878"/>
    <w:rsid w:val="009A2ED6"/>
    <w:rsid w:val="009A39B2"/>
    <w:rsid w:val="009A49E2"/>
    <w:rsid w:val="009A7441"/>
    <w:rsid w:val="009A7BEB"/>
    <w:rsid w:val="009A7FCF"/>
    <w:rsid w:val="009C31DA"/>
    <w:rsid w:val="009C48FA"/>
    <w:rsid w:val="009C7E73"/>
    <w:rsid w:val="009E307B"/>
    <w:rsid w:val="009E3EF3"/>
    <w:rsid w:val="009E54A1"/>
    <w:rsid w:val="00A061EC"/>
    <w:rsid w:val="00A070D8"/>
    <w:rsid w:val="00A10A43"/>
    <w:rsid w:val="00A10B97"/>
    <w:rsid w:val="00A12999"/>
    <w:rsid w:val="00A129B6"/>
    <w:rsid w:val="00A13786"/>
    <w:rsid w:val="00A212CC"/>
    <w:rsid w:val="00A213C3"/>
    <w:rsid w:val="00A24962"/>
    <w:rsid w:val="00A26081"/>
    <w:rsid w:val="00A27188"/>
    <w:rsid w:val="00A2766C"/>
    <w:rsid w:val="00A334A8"/>
    <w:rsid w:val="00A334C3"/>
    <w:rsid w:val="00A35C03"/>
    <w:rsid w:val="00A35F42"/>
    <w:rsid w:val="00A463B5"/>
    <w:rsid w:val="00A47C03"/>
    <w:rsid w:val="00A50CF4"/>
    <w:rsid w:val="00A5171D"/>
    <w:rsid w:val="00A5308F"/>
    <w:rsid w:val="00A60EB8"/>
    <w:rsid w:val="00A627C1"/>
    <w:rsid w:val="00A666B7"/>
    <w:rsid w:val="00A7111A"/>
    <w:rsid w:val="00A72258"/>
    <w:rsid w:val="00A775FB"/>
    <w:rsid w:val="00A7772E"/>
    <w:rsid w:val="00A803B6"/>
    <w:rsid w:val="00A80CD1"/>
    <w:rsid w:val="00A8135E"/>
    <w:rsid w:val="00A86494"/>
    <w:rsid w:val="00A877E6"/>
    <w:rsid w:val="00A94A2C"/>
    <w:rsid w:val="00A95E33"/>
    <w:rsid w:val="00AA0291"/>
    <w:rsid w:val="00AB2FC3"/>
    <w:rsid w:val="00AB44CE"/>
    <w:rsid w:val="00AB5876"/>
    <w:rsid w:val="00AB7ADD"/>
    <w:rsid w:val="00AC4E89"/>
    <w:rsid w:val="00AC4F4F"/>
    <w:rsid w:val="00AD1925"/>
    <w:rsid w:val="00AE0E9E"/>
    <w:rsid w:val="00AE17B2"/>
    <w:rsid w:val="00AE7F1B"/>
    <w:rsid w:val="00AF14AC"/>
    <w:rsid w:val="00AF29D5"/>
    <w:rsid w:val="00AF2CB8"/>
    <w:rsid w:val="00AF458D"/>
    <w:rsid w:val="00AF476D"/>
    <w:rsid w:val="00AF4E38"/>
    <w:rsid w:val="00B100A4"/>
    <w:rsid w:val="00B11F8D"/>
    <w:rsid w:val="00B23A82"/>
    <w:rsid w:val="00B26778"/>
    <w:rsid w:val="00B3720E"/>
    <w:rsid w:val="00B37CEF"/>
    <w:rsid w:val="00B403A4"/>
    <w:rsid w:val="00B41182"/>
    <w:rsid w:val="00B43A86"/>
    <w:rsid w:val="00B43C3B"/>
    <w:rsid w:val="00B44941"/>
    <w:rsid w:val="00B51615"/>
    <w:rsid w:val="00B51A1D"/>
    <w:rsid w:val="00B520B5"/>
    <w:rsid w:val="00B55633"/>
    <w:rsid w:val="00B60105"/>
    <w:rsid w:val="00B60705"/>
    <w:rsid w:val="00B60AC7"/>
    <w:rsid w:val="00B64F29"/>
    <w:rsid w:val="00B70A2C"/>
    <w:rsid w:val="00B72546"/>
    <w:rsid w:val="00B728CD"/>
    <w:rsid w:val="00B76F86"/>
    <w:rsid w:val="00B81A46"/>
    <w:rsid w:val="00B84E66"/>
    <w:rsid w:val="00B85A19"/>
    <w:rsid w:val="00B929BB"/>
    <w:rsid w:val="00B936C4"/>
    <w:rsid w:val="00B93A7F"/>
    <w:rsid w:val="00B956B7"/>
    <w:rsid w:val="00BA0B8A"/>
    <w:rsid w:val="00BA4816"/>
    <w:rsid w:val="00BA5FBA"/>
    <w:rsid w:val="00BA7992"/>
    <w:rsid w:val="00BC5360"/>
    <w:rsid w:val="00BC55CE"/>
    <w:rsid w:val="00BC6E73"/>
    <w:rsid w:val="00BC6F4F"/>
    <w:rsid w:val="00BD0EF5"/>
    <w:rsid w:val="00BD1743"/>
    <w:rsid w:val="00BD2B8E"/>
    <w:rsid w:val="00BD4D4F"/>
    <w:rsid w:val="00BD505C"/>
    <w:rsid w:val="00BD578B"/>
    <w:rsid w:val="00BD5EF3"/>
    <w:rsid w:val="00BE2699"/>
    <w:rsid w:val="00BE44C6"/>
    <w:rsid w:val="00BE71BA"/>
    <w:rsid w:val="00BF0355"/>
    <w:rsid w:val="00BF355D"/>
    <w:rsid w:val="00BF6203"/>
    <w:rsid w:val="00C00790"/>
    <w:rsid w:val="00C03AB4"/>
    <w:rsid w:val="00C056EF"/>
    <w:rsid w:val="00C05F16"/>
    <w:rsid w:val="00C102D8"/>
    <w:rsid w:val="00C1056B"/>
    <w:rsid w:val="00C12BCF"/>
    <w:rsid w:val="00C20262"/>
    <w:rsid w:val="00C24507"/>
    <w:rsid w:val="00C34858"/>
    <w:rsid w:val="00C35DFC"/>
    <w:rsid w:val="00C3768B"/>
    <w:rsid w:val="00C40D6B"/>
    <w:rsid w:val="00C45C9C"/>
    <w:rsid w:val="00C4692E"/>
    <w:rsid w:val="00C503AA"/>
    <w:rsid w:val="00C5766B"/>
    <w:rsid w:val="00C6293C"/>
    <w:rsid w:val="00C63387"/>
    <w:rsid w:val="00C634A4"/>
    <w:rsid w:val="00C64E2E"/>
    <w:rsid w:val="00C71061"/>
    <w:rsid w:val="00C82001"/>
    <w:rsid w:val="00C852D3"/>
    <w:rsid w:val="00C874C6"/>
    <w:rsid w:val="00C90C75"/>
    <w:rsid w:val="00C968A8"/>
    <w:rsid w:val="00CA1F75"/>
    <w:rsid w:val="00CA562A"/>
    <w:rsid w:val="00CB2905"/>
    <w:rsid w:val="00CB739D"/>
    <w:rsid w:val="00CC40B7"/>
    <w:rsid w:val="00CC505E"/>
    <w:rsid w:val="00CD64C1"/>
    <w:rsid w:val="00CD6801"/>
    <w:rsid w:val="00CE1F6E"/>
    <w:rsid w:val="00CE34A1"/>
    <w:rsid w:val="00CE69CA"/>
    <w:rsid w:val="00CF0A0A"/>
    <w:rsid w:val="00CF60E1"/>
    <w:rsid w:val="00CF6977"/>
    <w:rsid w:val="00D136BA"/>
    <w:rsid w:val="00D15306"/>
    <w:rsid w:val="00D17D60"/>
    <w:rsid w:val="00D203D0"/>
    <w:rsid w:val="00D214B1"/>
    <w:rsid w:val="00D214CA"/>
    <w:rsid w:val="00D22429"/>
    <w:rsid w:val="00D232BB"/>
    <w:rsid w:val="00D2658C"/>
    <w:rsid w:val="00D33FE9"/>
    <w:rsid w:val="00D35809"/>
    <w:rsid w:val="00D35B01"/>
    <w:rsid w:val="00D35EF7"/>
    <w:rsid w:val="00D44E57"/>
    <w:rsid w:val="00D46464"/>
    <w:rsid w:val="00D51205"/>
    <w:rsid w:val="00D54D56"/>
    <w:rsid w:val="00D562D9"/>
    <w:rsid w:val="00D66E19"/>
    <w:rsid w:val="00D7339C"/>
    <w:rsid w:val="00D8185D"/>
    <w:rsid w:val="00D82278"/>
    <w:rsid w:val="00D851BC"/>
    <w:rsid w:val="00DA216C"/>
    <w:rsid w:val="00DA24E4"/>
    <w:rsid w:val="00DB03D3"/>
    <w:rsid w:val="00DB42AA"/>
    <w:rsid w:val="00DC5316"/>
    <w:rsid w:val="00DC68E0"/>
    <w:rsid w:val="00DD09D9"/>
    <w:rsid w:val="00DD4ADB"/>
    <w:rsid w:val="00DD7FD4"/>
    <w:rsid w:val="00DE3C55"/>
    <w:rsid w:val="00DE5A09"/>
    <w:rsid w:val="00DF0E29"/>
    <w:rsid w:val="00DF2D70"/>
    <w:rsid w:val="00DF5CBB"/>
    <w:rsid w:val="00DF6E98"/>
    <w:rsid w:val="00E027D0"/>
    <w:rsid w:val="00E05EAB"/>
    <w:rsid w:val="00E10ABD"/>
    <w:rsid w:val="00E11BB7"/>
    <w:rsid w:val="00E13FC7"/>
    <w:rsid w:val="00E15650"/>
    <w:rsid w:val="00E15C37"/>
    <w:rsid w:val="00E16EBA"/>
    <w:rsid w:val="00E2278B"/>
    <w:rsid w:val="00E22EB4"/>
    <w:rsid w:val="00E22FB3"/>
    <w:rsid w:val="00E26F87"/>
    <w:rsid w:val="00E31733"/>
    <w:rsid w:val="00E321DA"/>
    <w:rsid w:val="00E32206"/>
    <w:rsid w:val="00E42DF8"/>
    <w:rsid w:val="00E4433A"/>
    <w:rsid w:val="00E5005D"/>
    <w:rsid w:val="00E502CD"/>
    <w:rsid w:val="00E5039F"/>
    <w:rsid w:val="00E521FB"/>
    <w:rsid w:val="00E548DA"/>
    <w:rsid w:val="00E5646D"/>
    <w:rsid w:val="00E64AD1"/>
    <w:rsid w:val="00E64BF3"/>
    <w:rsid w:val="00E70B5C"/>
    <w:rsid w:val="00E74DA7"/>
    <w:rsid w:val="00E75E52"/>
    <w:rsid w:val="00E81F08"/>
    <w:rsid w:val="00E823F0"/>
    <w:rsid w:val="00E83532"/>
    <w:rsid w:val="00E84A5D"/>
    <w:rsid w:val="00E84FBD"/>
    <w:rsid w:val="00E864BA"/>
    <w:rsid w:val="00E875A4"/>
    <w:rsid w:val="00E9145E"/>
    <w:rsid w:val="00E96B79"/>
    <w:rsid w:val="00EA1FD9"/>
    <w:rsid w:val="00EA2C5E"/>
    <w:rsid w:val="00EA6713"/>
    <w:rsid w:val="00EB2B45"/>
    <w:rsid w:val="00EB3A55"/>
    <w:rsid w:val="00EB3D6D"/>
    <w:rsid w:val="00EB5326"/>
    <w:rsid w:val="00EB59F5"/>
    <w:rsid w:val="00EB5E1A"/>
    <w:rsid w:val="00EB5F7F"/>
    <w:rsid w:val="00EC2BB5"/>
    <w:rsid w:val="00EC32B1"/>
    <w:rsid w:val="00EC630B"/>
    <w:rsid w:val="00ED0417"/>
    <w:rsid w:val="00EE0440"/>
    <w:rsid w:val="00EE39B6"/>
    <w:rsid w:val="00EF4D7A"/>
    <w:rsid w:val="00EF7817"/>
    <w:rsid w:val="00F017AE"/>
    <w:rsid w:val="00F05669"/>
    <w:rsid w:val="00F105FD"/>
    <w:rsid w:val="00F1478E"/>
    <w:rsid w:val="00F15344"/>
    <w:rsid w:val="00F15C15"/>
    <w:rsid w:val="00F2127B"/>
    <w:rsid w:val="00F24665"/>
    <w:rsid w:val="00F25321"/>
    <w:rsid w:val="00F30C02"/>
    <w:rsid w:val="00F3190B"/>
    <w:rsid w:val="00F35556"/>
    <w:rsid w:val="00F53A9B"/>
    <w:rsid w:val="00F6168A"/>
    <w:rsid w:val="00F61769"/>
    <w:rsid w:val="00F63116"/>
    <w:rsid w:val="00F63C36"/>
    <w:rsid w:val="00F65EDB"/>
    <w:rsid w:val="00F737FD"/>
    <w:rsid w:val="00F85042"/>
    <w:rsid w:val="00F86643"/>
    <w:rsid w:val="00F87BD5"/>
    <w:rsid w:val="00FA69BD"/>
    <w:rsid w:val="00FB0391"/>
    <w:rsid w:val="00FB0500"/>
    <w:rsid w:val="00FC1C9D"/>
    <w:rsid w:val="00FC40D0"/>
    <w:rsid w:val="00FC6D0A"/>
    <w:rsid w:val="00FC717E"/>
    <w:rsid w:val="00FD2A35"/>
    <w:rsid w:val="00FD489C"/>
    <w:rsid w:val="00FD6EFA"/>
    <w:rsid w:val="00FE2369"/>
    <w:rsid w:val="00FE2F0E"/>
    <w:rsid w:val="00FE5D1D"/>
    <w:rsid w:val="00FF05C6"/>
    <w:rsid w:val="00FF380B"/>
    <w:rsid w:val="00FF58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5"/>
    <o:shapelayout v:ext="edit">
      <o:idmap v:ext="edit" data="1"/>
    </o:shapelayout>
  </w:shapeDefaults>
  <w:decimalSymbol w:val="."/>
  <w:listSeparator w:val=","/>
  <w14:docId w14:val="4A831B4D"/>
  <w15:chartTrackingRefBased/>
  <w15:docId w15:val="{6F25B23F-F155-4240-B4F5-2D753345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4E7"/>
    <w:rPr>
      <w:rFonts w:ascii="Arial" w:eastAsia="Calibri" w:hAnsi="Arial" w:cs="Times New Roman"/>
    </w:rPr>
  </w:style>
  <w:style w:type="paragraph" w:styleId="Heading1">
    <w:name w:val="heading 1"/>
    <w:basedOn w:val="Normal"/>
    <w:next w:val="Normal"/>
    <w:link w:val="Heading1Char"/>
    <w:uiPriority w:val="9"/>
    <w:qFormat/>
    <w:rsid w:val="005874E7"/>
    <w:pPr>
      <w:keepNext/>
      <w:outlineLvl w:val="0"/>
    </w:pPr>
    <w:rPr>
      <w:rFonts w:cs="Arial"/>
      <w:b/>
      <w:caps/>
    </w:rPr>
  </w:style>
  <w:style w:type="paragraph" w:styleId="Heading2">
    <w:name w:val="heading 2"/>
    <w:basedOn w:val="Normal"/>
    <w:next w:val="Normal"/>
    <w:link w:val="Heading2Char"/>
    <w:uiPriority w:val="9"/>
    <w:qFormat/>
    <w:rsid w:val="005874E7"/>
    <w:pPr>
      <w:keepNext/>
      <w:outlineLvl w:val="1"/>
    </w:pPr>
    <w:rPr>
      <w:rFonts w:cs="Arial"/>
      <w:b/>
    </w:rPr>
  </w:style>
  <w:style w:type="paragraph" w:styleId="Heading3">
    <w:name w:val="heading 3"/>
    <w:basedOn w:val="Normal"/>
    <w:next w:val="Normal"/>
    <w:link w:val="Heading3Char"/>
    <w:uiPriority w:val="9"/>
    <w:qFormat/>
    <w:rsid w:val="005874E7"/>
    <w:pPr>
      <w:keepNext/>
      <w:outlineLvl w:val="2"/>
    </w:pPr>
    <w:rPr>
      <w:rFonts w:cs="Arial"/>
      <w:b/>
      <w:i/>
    </w:rPr>
  </w:style>
  <w:style w:type="paragraph" w:styleId="Heading4">
    <w:name w:val="heading 4"/>
    <w:basedOn w:val="Normal"/>
    <w:next w:val="Normal"/>
    <w:link w:val="Heading4Char"/>
    <w:uiPriority w:val="9"/>
    <w:qFormat/>
    <w:rsid w:val="005874E7"/>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4E7"/>
    <w:rPr>
      <w:rFonts w:ascii="Arial" w:eastAsia="Calibri" w:hAnsi="Arial" w:cs="Arial"/>
      <w:b/>
      <w:caps/>
    </w:rPr>
  </w:style>
  <w:style w:type="character" w:customStyle="1" w:styleId="Heading2Char">
    <w:name w:val="Heading 2 Char"/>
    <w:basedOn w:val="DefaultParagraphFont"/>
    <w:link w:val="Heading2"/>
    <w:uiPriority w:val="9"/>
    <w:rsid w:val="005874E7"/>
    <w:rPr>
      <w:rFonts w:ascii="Arial" w:eastAsia="Calibri" w:hAnsi="Arial" w:cs="Arial"/>
      <w:b/>
    </w:rPr>
  </w:style>
  <w:style w:type="character" w:customStyle="1" w:styleId="Heading3Char">
    <w:name w:val="Heading 3 Char"/>
    <w:basedOn w:val="DefaultParagraphFont"/>
    <w:link w:val="Heading3"/>
    <w:uiPriority w:val="9"/>
    <w:rsid w:val="005874E7"/>
    <w:rPr>
      <w:rFonts w:ascii="Arial" w:eastAsia="Calibri" w:hAnsi="Arial" w:cs="Arial"/>
      <w:b/>
      <w:i/>
    </w:rPr>
  </w:style>
  <w:style w:type="character" w:customStyle="1" w:styleId="Heading4Char">
    <w:name w:val="Heading 4 Char"/>
    <w:basedOn w:val="DefaultParagraphFont"/>
    <w:link w:val="Heading4"/>
    <w:uiPriority w:val="9"/>
    <w:rsid w:val="005874E7"/>
    <w:rPr>
      <w:rFonts w:ascii="Arial" w:eastAsia="Calibri" w:hAnsi="Arial" w:cs="Arial"/>
      <w:i/>
    </w:rPr>
  </w:style>
  <w:style w:type="paragraph" w:styleId="Header">
    <w:name w:val="header"/>
    <w:basedOn w:val="Normal"/>
    <w:link w:val="HeaderChar"/>
    <w:uiPriority w:val="99"/>
    <w:unhideWhenUsed/>
    <w:rsid w:val="00587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4E7"/>
    <w:rPr>
      <w:rFonts w:ascii="Arial" w:eastAsia="Calibri" w:hAnsi="Arial" w:cs="Times New Roman"/>
    </w:rPr>
  </w:style>
  <w:style w:type="paragraph" w:styleId="Footer">
    <w:name w:val="footer"/>
    <w:basedOn w:val="Normal"/>
    <w:link w:val="FooterChar"/>
    <w:uiPriority w:val="99"/>
    <w:unhideWhenUsed/>
    <w:rsid w:val="00587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4E7"/>
    <w:rPr>
      <w:rFonts w:ascii="Arial" w:eastAsia="Calibri" w:hAnsi="Arial" w:cs="Times New Roman"/>
    </w:rPr>
  </w:style>
  <w:style w:type="paragraph" w:styleId="BalloonText">
    <w:name w:val="Balloon Text"/>
    <w:basedOn w:val="Normal"/>
    <w:link w:val="BalloonTextChar"/>
    <w:uiPriority w:val="99"/>
    <w:semiHidden/>
    <w:unhideWhenUsed/>
    <w:rsid w:val="00587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4E7"/>
    <w:rPr>
      <w:rFonts w:ascii="Tahoma" w:eastAsia="Calibri" w:hAnsi="Tahoma" w:cs="Tahoma"/>
      <w:sz w:val="16"/>
      <w:szCs w:val="16"/>
    </w:rPr>
  </w:style>
  <w:style w:type="numbering" w:customStyle="1" w:styleId="KeyPoints">
    <w:name w:val="Key Points"/>
    <w:basedOn w:val="NoList"/>
    <w:uiPriority w:val="99"/>
    <w:rsid w:val="005874E7"/>
    <w:pPr>
      <w:numPr>
        <w:numId w:val="1"/>
      </w:numPr>
    </w:pPr>
  </w:style>
  <w:style w:type="paragraph" w:customStyle="1" w:styleId="1NumberedPointsStyle">
    <w:name w:val="1. Numbered Points Style"/>
    <w:basedOn w:val="ListParagraph"/>
    <w:rsid w:val="005874E7"/>
    <w:pPr>
      <w:numPr>
        <w:numId w:val="0"/>
      </w:numPr>
    </w:pPr>
  </w:style>
  <w:style w:type="numbering" w:customStyle="1" w:styleId="BulletList">
    <w:name w:val="Bullet List"/>
    <w:uiPriority w:val="99"/>
    <w:rsid w:val="005874E7"/>
    <w:pPr>
      <w:numPr>
        <w:numId w:val="2"/>
      </w:numPr>
    </w:pPr>
  </w:style>
  <w:style w:type="paragraph" w:customStyle="1" w:styleId="1BulletStyleList">
    <w:name w:val="1. Bullet Style List"/>
    <w:basedOn w:val="Normal"/>
    <w:rsid w:val="005874E7"/>
    <w:pPr>
      <w:spacing w:line="240" w:lineRule="auto"/>
    </w:pPr>
    <w:rPr>
      <w:rFonts w:eastAsia="Times New Roman"/>
      <w:szCs w:val="20"/>
      <w:lang w:eastAsia="en-AU"/>
    </w:rPr>
  </w:style>
  <w:style w:type="paragraph" w:styleId="ListBullet">
    <w:name w:val="List Bullet"/>
    <w:basedOn w:val="Normal"/>
    <w:uiPriority w:val="99"/>
    <w:unhideWhenUsed/>
    <w:qFormat/>
    <w:rsid w:val="005874E7"/>
    <w:pPr>
      <w:numPr>
        <w:numId w:val="26"/>
      </w:numPr>
      <w:tabs>
        <w:tab w:val="clear" w:pos="360"/>
      </w:tabs>
      <w:ind w:left="369" w:hanging="369"/>
    </w:pPr>
  </w:style>
  <w:style w:type="paragraph" w:styleId="ListBullet2">
    <w:name w:val="List Bullet 2"/>
    <w:basedOn w:val="Normal"/>
    <w:uiPriority w:val="99"/>
    <w:unhideWhenUsed/>
    <w:rsid w:val="005874E7"/>
    <w:pPr>
      <w:numPr>
        <w:ilvl w:val="1"/>
        <w:numId w:val="6"/>
      </w:numPr>
    </w:pPr>
  </w:style>
  <w:style w:type="paragraph" w:styleId="ListBullet3">
    <w:name w:val="List Bullet 3"/>
    <w:basedOn w:val="Normal"/>
    <w:uiPriority w:val="99"/>
    <w:unhideWhenUsed/>
    <w:rsid w:val="005874E7"/>
    <w:pPr>
      <w:numPr>
        <w:ilvl w:val="2"/>
        <w:numId w:val="6"/>
      </w:numPr>
    </w:pPr>
  </w:style>
  <w:style w:type="paragraph" w:styleId="ListBullet4">
    <w:name w:val="List Bullet 4"/>
    <w:basedOn w:val="Normal"/>
    <w:uiPriority w:val="99"/>
    <w:unhideWhenUsed/>
    <w:rsid w:val="005874E7"/>
    <w:pPr>
      <w:numPr>
        <w:ilvl w:val="3"/>
        <w:numId w:val="6"/>
      </w:numPr>
    </w:pPr>
  </w:style>
  <w:style w:type="paragraph" w:styleId="ListBullet5">
    <w:name w:val="List Bullet 5"/>
    <w:basedOn w:val="Normal"/>
    <w:uiPriority w:val="99"/>
    <w:unhideWhenUsed/>
    <w:rsid w:val="005874E7"/>
    <w:pPr>
      <w:ind w:left="369" w:hanging="369"/>
    </w:pPr>
  </w:style>
  <w:style w:type="numbering" w:customStyle="1" w:styleId="Attach">
    <w:name w:val="Attach"/>
    <w:basedOn w:val="NoList"/>
    <w:uiPriority w:val="99"/>
    <w:rsid w:val="005874E7"/>
    <w:pPr>
      <w:numPr>
        <w:numId w:val="3"/>
      </w:numPr>
    </w:pPr>
  </w:style>
  <w:style w:type="paragraph" w:customStyle="1" w:styleId="Classification">
    <w:name w:val="Classification"/>
    <w:basedOn w:val="Normal"/>
    <w:uiPriority w:val="10"/>
    <w:qFormat/>
    <w:rsid w:val="005874E7"/>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5874E7"/>
    <w:pPr>
      <w:numPr>
        <w:numId w:val="4"/>
      </w:numPr>
    </w:pPr>
  </w:style>
  <w:style w:type="character" w:styleId="BookTitle">
    <w:name w:val="Book Title"/>
    <w:basedOn w:val="DefaultParagraphFont"/>
    <w:uiPriority w:val="33"/>
    <w:rsid w:val="005874E7"/>
    <w:rPr>
      <w:bCs/>
      <w:i/>
      <w:smallCaps/>
      <w:spacing w:val="5"/>
    </w:rPr>
  </w:style>
  <w:style w:type="paragraph" w:styleId="ListNumber">
    <w:name w:val="List Number"/>
    <w:basedOn w:val="Normal"/>
    <w:uiPriority w:val="99"/>
    <w:qFormat/>
    <w:rsid w:val="005874E7"/>
    <w:pPr>
      <w:numPr>
        <w:numId w:val="5"/>
      </w:numPr>
    </w:pPr>
  </w:style>
  <w:style w:type="paragraph" w:styleId="ListNumber2">
    <w:name w:val="List Number 2"/>
    <w:basedOn w:val="Normal"/>
    <w:uiPriority w:val="99"/>
    <w:rsid w:val="005874E7"/>
    <w:pPr>
      <w:numPr>
        <w:ilvl w:val="1"/>
        <w:numId w:val="5"/>
      </w:numPr>
    </w:pPr>
  </w:style>
  <w:style w:type="paragraph" w:styleId="ListNumber3">
    <w:name w:val="List Number 3"/>
    <w:basedOn w:val="Normal"/>
    <w:uiPriority w:val="99"/>
    <w:rsid w:val="005874E7"/>
    <w:pPr>
      <w:numPr>
        <w:ilvl w:val="2"/>
        <w:numId w:val="5"/>
      </w:numPr>
    </w:pPr>
  </w:style>
  <w:style w:type="paragraph" w:styleId="ListNumber4">
    <w:name w:val="List Number 4"/>
    <w:basedOn w:val="Normal"/>
    <w:uiPriority w:val="99"/>
    <w:rsid w:val="005874E7"/>
    <w:pPr>
      <w:numPr>
        <w:ilvl w:val="3"/>
        <w:numId w:val="5"/>
      </w:numPr>
    </w:pPr>
  </w:style>
  <w:style w:type="paragraph" w:styleId="ListNumber5">
    <w:name w:val="List Number 5"/>
    <w:basedOn w:val="Normal"/>
    <w:uiPriority w:val="99"/>
    <w:rsid w:val="005874E7"/>
    <w:pPr>
      <w:numPr>
        <w:ilvl w:val="4"/>
        <w:numId w:val="5"/>
      </w:numPr>
    </w:pPr>
  </w:style>
  <w:style w:type="paragraph" w:customStyle="1" w:styleId="Footerclassification">
    <w:name w:val="Footer classification"/>
    <w:basedOn w:val="Classification"/>
    <w:rsid w:val="005874E7"/>
    <w:pPr>
      <w:spacing w:before="240" w:after="0"/>
    </w:pPr>
  </w:style>
  <w:style w:type="table" w:styleId="TableGrid">
    <w:name w:val="Table Grid"/>
    <w:basedOn w:val="TableNormal"/>
    <w:uiPriority w:val="59"/>
    <w:rsid w:val="005874E7"/>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874E7"/>
    <w:pPr>
      <w:spacing w:after="0"/>
    </w:pPr>
  </w:style>
  <w:style w:type="paragraph" w:customStyle="1" w:styleId="Classificationsensitivity">
    <w:name w:val="Classification sensitivity"/>
    <w:basedOn w:val="Classification"/>
    <w:rsid w:val="005874E7"/>
    <w:rPr>
      <w:sz w:val="22"/>
    </w:rPr>
  </w:style>
  <w:style w:type="paragraph" w:styleId="NoSpacing">
    <w:name w:val="No Spacing"/>
    <w:link w:val="NoSpacingChar"/>
    <w:uiPriority w:val="1"/>
    <w:qFormat/>
    <w:rsid w:val="005874E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874E7"/>
    <w:rPr>
      <w:rFonts w:eastAsiaTheme="minorEastAsia"/>
      <w:lang w:val="en-US"/>
    </w:rPr>
  </w:style>
  <w:style w:type="table" w:styleId="LightList-Accent2">
    <w:name w:val="Light List Accent 2"/>
    <w:basedOn w:val="TableNormal"/>
    <w:uiPriority w:val="61"/>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874E7"/>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rsid w:val="005874E7"/>
    <w:pPr>
      <w:spacing w:after="0"/>
      <w:ind w:left="440"/>
    </w:pPr>
    <w:rPr>
      <w:rFonts w:asciiTheme="minorHAnsi" w:hAnsiTheme="minorHAnsi"/>
      <w:i/>
      <w:iCs/>
      <w:sz w:val="20"/>
      <w:szCs w:val="20"/>
    </w:rPr>
  </w:style>
  <w:style w:type="character" w:styleId="Hyperlink">
    <w:name w:val="Hyperlink"/>
    <w:basedOn w:val="DefaultParagraphFont"/>
    <w:uiPriority w:val="99"/>
    <w:unhideWhenUsed/>
    <w:rsid w:val="005874E7"/>
    <w:rPr>
      <w:color w:val="0000FF" w:themeColor="hyperlink"/>
      <w:u w:val="single"/>
    </w:rPr>
  </w:style>
  <w:style w:type="paragraph" w:styleId="TOC1">
    <w:name w:val="toc 1"/>
    <w:basedOn w:val="Normal"/>
    <w:next w:val="Normal"/>
    <w:autoRedefine/>
    <w:uiPriority w:val="39"/>
    <w:unhideWhenUsed/>
    <w:rsid w:val="005874E7"/>
    <w:pPr>
      <w:spacing w:before="120" w:after="120"/>
    </w:pPr>
    <w:rPr>
      <w:rFonts w:asciiTheme="minorHAnsi" w:hAnsiTheme="minorHAnsi"/>
      <w:b/>
      <w:bCs/>
      <w:caps/>
      <w:sz w:val="20"/>
      <w:szCs w:val="20"/>
    </w:rPr>
  </w:style>
  <w:style w:type="paragraph" w:styleId="NormalWeb">
    <w:name w:val="Normal (Web)"/>
    <w:basedOn w:val="Normal"/>
    <w:uiPriority w:val="99"/>
    <w:semiHidden/>
    <w:unhideWhenUsed/>
    <w:rsid w:val="005874E7"/>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Default">
    <w:name w:val="Default"/>
    <w:rsid w:val="005874E7"/>
    <w:pPr>
      <w:autoSpaceDE w:val="0"/>
      <w:autoSpaceDN w:val="0"/>
      <w:adjustRightInd w:val="0"/>
      <w:spacing w:after="0" w:line="240" w:lineRule="auto"/>
    </w:pPr>
    <w:rPr>
      <w:rFonts w:ascii="Calibri" w:eastAsia="Calibri" w:hAnsi="Calibri" w:cs="Calibri"/>
      <w:color w:val="000000"/>
      <w:sz w:val="24"/>
      <w:szCs w:val="24"/>
      <w:lang w:eastAsia="en-AU"/>
    </w:rPr>
  </w:style>
  <w:style w:type="paragraph" w:customStyle="1" w:styleId="scrread">
    <w:name w:val="scrread"/>
    <w:basedOn w:val="Normal"/>
    <w:rsid w:val="005874E7"/>
    <w:pPr>
      <w:spacing w:before="100" w:beforeAutospacing="1" w:after="100" w:afterAutospacing="1" w:line="240" w:lineRule="auto"/>
    </w:pPr>
    <w:rPr>
      <w:rFonts w:ascii="Times New Roman" w:eastAsia="Times New Roman" w:hAnsi="Times New Roman"/>
      <w:sz w:val="24"/>
      <w:szCs w:val="24"/>
      <w:lang w:eastAsia="en-AU"/>
    </w:rPr>
  </w:style>
  <w:style w:type="paragraph" w:styleId="TOCHeading">
    <w:name w:val="TOC Heading"/>
    <w:basedOn w:val="Heading1"/>
    <w:next w:val="Normal"/>
    <w:uiPriority w:val="39"/>
    <w:unhideWhenUsed/>
    <w:qFormat/>
    <w:rsid w:val="005874E7"/>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table" w:customStyle="1" w:styleId="GridTable2-Accent61">
    <w:name w:val="Grid Table 2 - Accent 61"/>
    <w:basedOn w:val="TableNormal"/>
    <w:uiPriority w:val="47"/>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1">
    <w:name w:val="Grid Table 5 Dark - Accent 61"/>
    <w:basedOn w:val="TableNormal"/>
    <w:uiPriority w:val="50"/>
    <w:rsid w:val="005874E7"/>
    <w:pPr>
      <w:spacing w:after="0" w:line="240" w:lineRule="auto"/>
    </w:pPr>
    <w:rPr>
      <w:rFonts w:ascii="Arial" w:eastAsia="Calibri" w:hAnsi="Arial"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FollowedHyperlink">
    <w:name w:val="FollowedHyperlink"/>
    <w:basedOn w:val="DefaultParagraphFont"/>
    <w:uiPriority w:val="99"/>
    <w:semiHidden/>
    <w:unhideWhenUsed/>
    <w:rsid w:val="005874E7"/>
    <w:rPr>
      <w:color w:val="800080" w:themeColor="followedHyperlink"/>
      <w:u w:val="single"/>
    </w:rPr>
  </w:style>
  <w:style w:type="character" w:styleId="CommentReference">
    <w:name w:val="annotation reference"/>
    <w:basedOn w:val="DefaultParagraphFont"/>
    <w:uiPriority w:val="99"/>
    <w:semiHidden/>
    <w:unhideWhenUsed/>
    <w:rsid w:val="005874E7"/>
    <w:rPr>
      <w:sz w:val="16"/>
      <w:szCs w:val="16"/>
    </w:rPr>
  </w:style>
  <w:style w:type="paragraph" w:styleId="CommentText">
    <w:name w:val="annotation text"/>
    <w:basedOn w:val="Normal"/>
    <w:link w:val="CommentTextChar"/>
    <w:uiPriority w:val="99"/>
    <w:semiHidden/>
    <w:unhideWhenUsed/>
    <w:rsid w:val="005874E7"/>
    <w:pPr>
      <w:spacing w:line="240" w:lineRule="auto"/>
    </w:pPr>
    <w:rPr>
      <w:sz w:val="20"/>
      <w:szCs w:val="20"/>
    </w:rPr>
  </w:style>
  <w:style w:type="character" w:customStyle="1" w:styleId="CommentTextChar">
    <w:name w:val="Comment Text Char"/>
    <w:basedOn w:val="DefaultParagraphFont"/>
    <w:link w:val="CommentText"/>
    <w:uiPriority w:val="99"/>
    <w:semiHidden/>
    <w:rsid w:val="005874E7"/>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5874E7"/>
    <w:rPr>
      <w:b/>
      <w:bCs/>
    </w:rPr>
  </w:style>
  <w:style w:type="character" w:customStyle="1" w:styleId="CommentSubjectChar">
    <w:name w:val="Comment Subject Char"/>
    <w:basedOn w:val="CommentTextChar"/>
    <w:link w:val="CommentSubject"/>
    <w:uiPriority w:val="99"/>
    <w:semiHidden/>
    <w:rsid w:val="005874E7"/>
    <w:rPr>
      <w:rFonts w:ascii="Arial" w:eastAsia="Calibri" w:hAnsi="Arial" w:cs="Times New Roman"/>
      <w:b/>
      <w:bCs/>
      <w:sz w:val="20"/>
      <w:szCs w:val="20"/>
    </w:rPr>
  </w:style>
  <w:style w:type="paragraph" w:styleId="Revision">
    <w:name w:val="Revision"/>
    <w:hidden/>
    <w:uiPriority w:val="99"/>
    <w:semiHidden/>
    <w:rsid w:val="005874E7"/>
    <w:pPr>
      <w:spacing w:after="0" w:line="240" w:lineRule="auto"/>
    </w:pPr>
    <w:rPr>
      <w:rFonts w:ascii="Arial" w:eastAsia="Calibri" w:hAnsi="Arial" w:cs="Times New Roman"/>
    </w:rPr>
  </w:style>
  <w:style w:type="paragraph" w:styleId="FootnoteText">
    <w:name w:val="footnote text"/>
    <w:basedOn w:val="Normal"/>
    <w:link w:val="FootnoteTextChar"/>
    <w:uiPriority w:val="99"/>
    <w:semiHidden/>
    <w:unhideWhenUsed/>
    <w:rsid w:val="005874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74E7"/>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5874E7"/>
    <w:rPr>
      <w:vertAlign w:val="superscript"/>
    </w:rPr>
  </w:style>
  <w:style w:type="character" w:customStyle="1" w:styleId="tgc">
    <w:name w:val="_tgc"/>
    <w:basedOn w:val="DefaultParagraphFont"/>
    <w:rsid w:val="005874E7"/>
  </w:style>
  <w:style w:type="character" w:customStyle="1" w:styleId="st1">
    <w:name w:val="st1"/>
    <w:basedOn w:val="DefaultParagraphFont"/>
    <w:rsid w:val="005874E7"/>
  </w:style>
  <w:style w:type="paragraph" w:styleId="TOC4">
    <w:name w:val="toc 4"/>
    <w:basedOn w:val="Normal"/>
    <w:next w:val="Normal"/>
    <w:autoRedefine/>
    <w:uiPriority w:val="39"/>
    <w:unhideWhenUsed/>
    <w:rsid w:val="005874E7"/>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5874E7"/>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5874E7"/>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5874E7"/>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5874E7"/>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5874E7"/>
    <w:pPr>
      <w:spacing w:after="0"/>
      <w:ind w:left="1760"/>
    </w:pPr>
    <w:rPr>
      <w:rFonts w:asciiTheme="minorHAnsi" w:hAnsiTheme="minorHAnsi"/>
      <w:sz w:val="18"/>
      <w:szCs w:val="18"/>
    </w:rPr>
  </w:style>
  <w:style w:type="character" w:styleId="Strong">
    <w:name w:val="Strong"/>
    <w:basedOn w:val="DefaultParagraphFont"/>
    <w:uiPriority w:val="22"/>
    <w:qFormat/>
    <w:rsid w:val="005874E7"/>
    <w:rPr>
      <w:b/>
      <w:bCs/>
    </w:rPr>
  </w:style>
  <w:style w:type="character" w:styleId="Emphasis">
    <w:name w:val="Emphasis"/>
    <w:basedOn w:val="DefaultParagraphFont"/>
    <w:uiPriority w:val="20"/>
    <w:qFormat/>
    <w:rsid w:val="005874E7"/>
    <w:rPr>
      <w:i/>
      <w:iCs/>
    </w:rPr>
  </w:style>
  <w:style w:type="character" w:customStyle="1" w:styleId="gmail-s1">
    <w:name w:val="gmail-s1"/>
    <w:basedOn w:val="DefaultParagraphFont"/>
    <w:rsid w:val="00C20262"/>
  </w:style>
  <w:style w:type="character" w:customStyle="1" w:styleId="gmail-s2">
    <w:name w:val="gmail-s2"/>
    <w:basedOn w:val="DefaultParagraphFont"/>
    <w:rsid w:val="00C20262"/>
  </w:style>
  <w:style w:type="paragraph" w:customStyle="1" w:styleId="gmail-p3">
    <w:name w:val="gmail-p3"/>
    <w:basedOn w:val="Normal"/>
    <w:rsid w:val="00C20262"/>
    <w:pPr>
      <w:spacing w:before="100" w:beforeAutospacing="1" w:after="100" w:afterAutospacing="1" w:line="240" w:lineRule="auto"/>
    </w:pPr>
    <w:rPr>
      <w:rFonts w:ascii="Times New Roman" w:eastAsiaTheme="minorHAnsi" w:hAnsi="Times New Roman"/>
      <w:sz w:val="24"/>
      <w:szCs w:val="24"/>
      <w:lang w:eastAsia="en-AU"/>
    </w:rPr>
  </w:style>
  <w:style w:type="paragraph" w:customStyle="1" w:styleId="gmail-p1">
    <w:name w:val="gmail-p1"/>
    <w:basedOn w:val="Normal"/>
    <w:rsid w:val="00C20262"/>
    <w:pPr>
      <w:spacing w:before="100" w:beforeAutospacing="1" w:after="100" w:afterAutospacing="1" w:line="240" w:lineRule="auto"/>
    </w:pPr>
    <w:rPr>
      <w:rFonts w:ascii="Times New Roman" w:eastAsiaTheme="minorHAnsi"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6219">
      <w:bodyDiv w:val="1"/>
      <w:marLeft w:val="0"/>
      <w:marRight w:val="0"/>
      <w:marTop w:val="0"/>
      <w:marBottom w:val="0"/>
      <w:divBdr>
        <w:top w:val="none" w:sz="0" w:space="0" w:color="auto"/>
        <w:left w:val="none" w:sz="0" w:space="0" w:color="auto"/>
        <w:bottom w:val="none" w:sz="0" w:space="0" w:color="auto"/>
        <w:right w:val="none" w:sz="0" w:space="0" w:color="auto"/>
      </w:divBdr>
    </w:div>
    <w:div w:id="56323535">
      <w:bodyDiv w:val="1"/>
      <w:marLeft w:val="0"/>
      <w:marRight w:val="0"/>
      <w:marTop w:val="0"/>
      <w:marBottom w:val="0"/>
      <w:divBdr>
        <w:top w:val="none" w:sz="0" w:space="0" w:color="auto"/>
        <w:left w:val="none" w:sz="0" w:space="0" w:color="auto"/>
        <w:bottom w:val="none" w:sz="0" w:space="0" w:color="auto"/>
        <w:right w:val="none" w:sz="0" w:space="0" w:color="auto"/>
      </w:divBdr>
      <w:divsChild>
        <w:div w:id="1726483726">
          <w:marLeft w:val="547"/>
          <w:marRight w:val="0"/>
          <w:marTop w:val="67"/>
          <w:marBottom w:val="120"/>
          <w:divBdr>
            <w:top w:val="none" w:sz="0" w:space="0" w:color="auto"/>
            <w:left w:val="none" w:sz="0" w:space="0" w:color="auto"/>
            <w:bottom w:val="none" w:sz="0" w:space="0" w:color="auto"/>
            <w:right w:val="none" w:sz="0" w:space="0" w:color="auto"/>
          </w:divBdr>
        </w:div>
        <w:div w:id="963383908">
          <w:marLeft w:val="1166"/>
          <w:marRight w:val="0"/>
          <w:marTop w:val="67"/>
          <w:marBottom w:val="120"/>
          <w:divBdr>
            <w:top w:val="none" w:sz="0" w:space="0" w:color="auto"/>
            <w:left w:val="none" w:sz="0" w:space="0" w:color="auto"/>
            <w:bottom w:val="none" w:sz="0" w:space="0" w:color="auto"/>
            <w:right w:val="none" w:sz="0" w:space="0" w:color="auto"/>
          </w:divBdr>
        </w:div>
        <w:div w:id="883835420">
          <w:marLeft w:val="1166"/>
          <w:marRight w:val="0"/>
          <w:marTop w:val="67"/>
          <w:marBottom w:val="120"/>
          <w:divBdr>
            <w:top w:val="none" w:sz="0" w:space="0" w:color="auto"/>
            <w:left w:val="none" w:sz="0" w:space="0" w:color="auto"/>
            <w:bottom w:val="none" w:sz="0" w:space="0" w:color="auto"/>
            <w:right w:val="none" w:sz="0" w:space="0" w:color="auto"/>
          </w:divBdr>
        </w:div>
        <w:div w:id="1521355975">
          <w:marLeft w:val="547"/>
          <w:marRight w:val="0"/>
          <w:marTop w:val="67"/>
          <w:marBottom w:val="120"/>
          <w:divBdr>
            <w:top w:val="none" w:sz="0" w:space="0" w:color="auto"/>
            <w:left w:val="none" w:sz="0" w:space="0" w:color="auto"/>
            <w:bottom w:val="none" w:sz="0" w:space="0" w:color="auto"/>
            <w:right w:val="none" w:sz="0" w:space="0" w:color="auto"/>
          </w:divBdr>
        </w:div>
        <w:div w:id="74130481">
          <w:marLeft w:val="547"/>
          <w:marRight w:val="0"/>
          <w:marTop w:val="67"/>
          <w:marBottom w:val="120"/>
          <w:divBdr>
            <w:top w:val="none" w:sz="0" w:space="0" w:color="auto"/>
            <w:left w:val="none" w:sz="0" w:space="0" w:color="auto"/>
            <w:bottom w:val="none" w:sz="0" w:space="0" w:color="auto"/>
            <w:right w:val="none" w:sz="0" w:space="0" w:color="auto"/>
          </w:divBdr>
        </w:div>
        <w:div w:id="1956210791">
          <w:marLeft w:val="547"/>
          <w:marRight w:val="0"/>
          <w:marTop w:val="67"/>
          <w:marBottom w:val="120"/>
          <w:divBdr>
            <w:top w:val="none" w:sz="0" w:space="0" w:color="auto"/>
            <w:left w:val="none" w:sz="0" w:space="0" w:color="auto"/>
            <w:bottom w:val="none" w:sz="0" w:space="0" w:color="auto"/>
            <w:right w:val="none" w:sz="0" w:space="0" w:color="auto"/>
          </w:divBdr>
        </w:div>
        <w:div w:id="1473516992">
          <w:marLeft w:val="547"/>
          <w:marRight w:val="0"/>
          <w:marTop w:val="67"/>
          <w:marBottom w:val="120"/>
          <w:divBdr>
            <w:top w:val="none" w:sz="0" w:space="0" w:color="auto"/>
            <w:left w:val="none" w:sz="0" w:space="0" w:color="auto"/>
            <w:bottom w:val="none" w:sz="0" w:space="0" w:color="auto"/>
            <w:right w:val="none" w:sz="0" w:space="0" w:color="auto"/>
          </w:divBdr>
        </w:div>
      </w:divsChild>
    </w:div>
    <w:div w:id="206995116">
      <w:bodyDiv w:val="1"/>
      <w:marLeft w:val="0"/>
      <w:marRight w:val="0"/>
      <w:marTop w:val="0"/>
      <w:marBottom w:val="0"/>
      <w:divBdr>
        <w:top w:val="none" w:sz="0" w:space="0" w:color="auto"/>
        <w:left w:val="none" w:sz="0" w:space="0" w:color="auto"/>
        <w:bottom w:val="none" w:sz="0" w:space="0" w:color="auto"/>
        <w:right w:val="none" w:sz="0" w:space="0" w:color="auto"/>
      </w:divBdr>
    </w:div>
    <w:div w:id="915818115">
      <w:bodyDiv w:val="1"/>
      <w:marLeft w:val="0"/>
      <w:marRight w:val="0"/>
      <w:marTop w:val="0"/>
      <w:marBottom w:val="0"/>
      <w:divBdr>
        <w:top w:val="none" w:sz="0" w:space="0" w:color="auto"/>
        <w:left w:val="none" w:sz="0" w:space="0" w:color="auto"/>
        <w:bottom w:val="none" w:sz="0" w:space="0" w:color="auto"/>
        <w:right w:val="none" w:sz="0" w:space="0" w:color="auto"/>
      </w:divBdr>
      <w:divsChild>
        <w:div w:id="1841699328">
          <w:marLeft w:val="547"/>
          <w:marRight w:val="0"/>
          <w:marTop w:val="60"/>
          <w:marBottom w:val="120"/>
          <w:divBdr>
            <w:top w:val="none" w:sz="0" w:space="0" w:color="auto"/>
            <w:left w:val="none" w:sz="0" w:space="0" w:color="auto"/>
            <w:bottom w:val="none" w:sz="0" w:space="0" w:color="auto"/>
            <w:right w:val="none" w:sz="0" w:space="0" w:color="auto"/>
          </w:divBdr>
        </w:div>
        <w:div w:id="1663974014">
          <w:marLeft w:val="547"/>
          <w:marRight w:val="0"/>
          <w:marTop w:val="60"/>
          <w:marBottom w:val="120"/>
          <w:divBdr>
            <w:top w:val="none" w:sz="0" w:space="0" w:color="auto"/>
            <w:left w:val="none" w:sz="0" w:space="0" w:color="auto"/>
            <w:bottom w:val="none" w:sz="0" w:space="0" w:color="auto"/>
            <w:right w:val="none" w:sz="0" w:space="0" w:color="auto"/>
          </w:divBdr>
        </w:div>
        <w:div w:id="1883008161">
          <w:marLeft w:val="547"/>
          <w:marRight w:val="0"/>
          <w:marTop w:val="60"/>
          <w:marBottom w:val="120"/>
          <w:divBdr>
            <w:top w:val="none" w:sz="0" w:space="0" w:color="auto"/>
            <w:left w:val="none" w:sz="0" w:space="0" w:color="auto"/>
            <w:bottom w:val="none" w:sz="0" w:space="0" w:color="auto"/>
            <w:right w:val="none" w:sz="0" w:space="0" w:color="auto"/>
          </w:divBdr>
        </w:div>
        <w:div w:id="292903832">
          <w:marLeft w:val="547"/>
          <w:marRight w:val="0"/>
          <w:marTop w:val="60"/>
          <w:marBottom w:val="120"/>
          <w:divBdr>
            <w:top w:val="none" w:sz="0" w:space="0" w:color="auto"/>
            <w:left w:val="none" w:sz="0" w:space="0" w:color="auto"/>
            <w:bottom w:val="none" w:sz="0" w:space="0" w:color="auto"/>
            <w:right w:val="none" w:sz="0" w:space="0" w:color="auto"/>
          </w:divBdr>
        </w:div>
        <w:div w:id="1966698459">
          <w:marLeft w:val="547"/>
          <w:marRight w:val="0"/>
          <w:marTop w:val="60"/>
          <w:marBottom w:val="120"/>
          <w:divBdr>
            <w:top w:val="none" w:sz="0" w:space="0" w:color="auto"/>
            <w:left w:val="none" w:sz="0" w:space="0" w:color="auto"/>
            <w:bottom w:val="none" w:sz="0" w:space="0" w:color="auto"/>
            <w:right w:val="none" w:sz="0" w:space="0" w:color="auto"/>
          </w:divBdr>
        </w:div>
        <w:div w:id="133371666">
          <w:marLeft w:val="547"/>
          <w:marRight w:val="0"/>
          <w:marTop w:val="60"/>
          <w:marBottom w:val="120"/>
          <w:divBdr>
            <w:top w:val="none" w:sz="0" w:space="0" w:color="auto"/>
            <w:left w:val="none" w:sz="0" w:space="0" w:color="auto"/>
            <w:bottom w:val="none" w:sz="0" w:space="0" w:color="auto"/>
            <w:right w:val="none" w:sz="0" w:space="0" w:color="auto"/>
          </w:divBdr>
        </w:div>
        <w:div w:id="1627467465">
          <w:marLeft w:val="547"/>
          <w:marRight w:val="0"/>
          <w:marTop w:val="60"/>
          <w:marBottom w:val="120"/>
          <w:divBdr>
            <w:top w:val="none" w:sz="0" w:space="0" w:color="auto"/>
            <w:left w:val="none" w:sz="0" w:space="0" w:color="auto"/>
            <w:bottom w:val="none" w:sz="0" w:space="0" w:color="auto"/>
            <w:right w:val="none" w:sz="0" w:space="0" w:color="auto"/>
          </w:divBdr>
        </w:div>
        <w:div w:id="750201437">
          <w:marLeft w:val="547"/>
          <w:marRight w:val="0"/>
          <w:marTop w:val="60"/>
          <w:marBottom w:val="120"/>
          <w:divBdr>
            <w:top w:val="none" w:sz="0" w:space="0" w:color="auto"/>
            <w:left w:val="none" w:sz="0" w:space="0" w:color="auto"/>
            <w:bottom w:val="none" w:sz="0" w:space="0" w:color="auto"/>
            <w:right w:val="none" w:sz="0" w:space="0" w:color="auto"/>
          </w:divBdr>
        </w:div>
      </w:divsChild>
    </w:div>
    <w:div w:id="937837181">
      <w:bodyDiv w:val="1"/>
      <w:marLeft w:val="0"/>
      <w:marRight w:val="0"/>
      <w:marTop w:val="0"/>
      <w:marBottom w:val="0"/>
      <w:divBdr>
        <w:top w:val="none" w:sz="0" w:space="0" w:color="auto"/>
        <w:left w:val="none" w:sz="0" w:space="0" w:color="auto"/>
        <w:bottom w:val="none" w:sz="0" w:space="0" w:color="auto"/>
        <w:right w:val="none" w:sz="0" w:space="0" w:color="auto"/>
      </w:divBdr>
      <w:divsChild>
        <w:div w:id="752357522">
          <w:marLeft w:val="0"/>
          <w:marRight w:val="0"/>
          <w:marTop w:val="0"/>
          <w:marBottom w:val="0"/>
          <w:divBdr>
            <w:top w:val="none" w:sz="0" w:space="0" w:color="auto"/>
            <w:left w:val="none" w:sz="0" w:space="0" w:color="auto"/>
            <w:bottom w:val="none" w:sz="0" w:space="0" w:color="auto"/>
            <w:right w:val="none" w:sz="0" w:space="0" w:color="auto"/>
          </w:divBdr>
          <w:divsChild>
            <w:div w:id="2015377817">
              <w:marLeft w:val="0"/>
              <w:marRight w:val="0"/>
              <w:marTop w:val="0"/>
              <w:marBottom w:val="0"/>
              <w:divBdr>
                <w:top w:val="none" w:sz="0" w:space="0" w:color="auto"/>
                <w:left w:val="none" w:sz="0" w:space="0" w:color="auto"/>
                <w:bottom w:val="none" w:sz="0" w:space="0" w:color="auto"/>
                <w:right w:val="none" w:sz="0" w:space="0" w:color="auto"/>
              </w:divBdr>
              <w:divsChild>
                <w:div w:id="96143023">
                  <w:marLeft w:val="0"/>
                  <w:marRight w:val="0"/>
                  <w:marTop w:val="0"/>
                  <w:marBottom w:val="0"/>
                  <w:divBdr>
                    <w:top w:val="none" w:sz="0" w:space="0" w:color="auto"/>
                    <w:left w:val="none" w:sz="0" w:space="0" w:color="auto"/>
                    <w:bottom w:val="none" w:sz="0" w:space="0" w:color="auto"/>
                    <w:right w:val="none" w:sz="0" w:space="0" w:color="auto"/>
                  </w:divBdr>
                  <w:divsChild>
                    <w:div w:id="745226725">
                      <w:marLeft w:val="0"/>
                      <w:marRight w:val="0"/>
                      <w:marTop w:val="0"/>
                      <w:marBottom w:val="0"/>
                      <w:divBdr>
                        <w:top w:val="none" w:sz="0" w:space="0" w:color="auto"/>
                        <w:left w:val="none" w:sz="0" w:space="0" w:color="auto"/>
                        <w:bottom w:val="none" w:sz="0" w:space="0" w:color="auto"/>
                        <w:right w:val="none" w:sz="0" w:space="0" w:color="auto"/>
                      </w:divBdr>
                      <w:divsChild>
                        <w:div w:id="14848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90746">
      <w:bodyDiv w:val="1"/>
      <w:marLeft w:val="0"/>
      <w:marRight w:val="0"/>
      <w:marTop w:val="0"/>
      <w:marBottom w:val="0"/>
      <w:divBdr>
        <w:top w:val="none" w:sz="0" w:space="0" w:color="auto"/>
        <w:left w:val="none" w:sz="0" w:space="0" w:color="auto"/>
        <w:bottom w:val="none" w:sz="0" w:space="0" w:color="auto"/>
        <w:right w:val="none" w:sz="0" w:space="0" w:color="auto"/>
      </w:divBdr>
    </w:div>
    <w:div w:id="1441531801">
      <w:bodyDiv w:val="1"/>
      <w:marLeft w:val="0"/>
      <w:marRight w:val="0"/>
      <w:marTop w:val="0"/>
      <w:marBottom w:val="0"/>
      <w:divBdr>
        <w:top w:val="none" w:sz="0" w:space="0" w:color="auto"/>
        <w:left w:val="none" w:sz="0" w:space="0" w:color="auto"/>
        <w:bottom w:val="none" w:sz="0" w:space="0" w:color="auto"/>
        <w:right w:val="none" w:sz="0" w:space="0" w:color="auto"/>
      </w:divBdr>
    </w:div>
    <w:div w:id="1456948072">
      <w:bodyDiv w:val="1"/>
      <w:marLeft w:val="0"/>
      <w:marRight w:val="0"/>
      <w:marTop w:val="0"/>
      <w:marBottom w:val="0"/>
      <w:divBdr>
        <w:top w:val="none" w:sz="0" w:space="0" w:color="auto"/>
        <w:left w:val="none" w:sz="0" w:space="0" w:color="auto"/>
        <w:bottom w:val="none" w:sz="0" w:space="0" w:color="auto"/>
        <w:right w:val="none" w:sz="0" w:space="0" w:color="auto"/>
      </w:divBdr>
      <w:divsChild>
        <w:div w:id="777677831">
          <w:marLeft w:val="547"/>
          <w:marRight w:val="0"/>
          <w:marTop w:val="60"/>
          <w:marBottom w:val="120"/>
          <w:divBdr>
            <w:top w:val="none" w:sz="0" w:space="0" w:color="auto"/>
            <w:left w:val="none" w:sz="0" w:space="0" w:color="auto"/>
            <w:bottom w:val="none" w:sz="0" w:space="0" w:color="auto"/>
            <w:right w:val="none" w:sz="0" w:space="0" w:color="auto"/>
          </w:divBdr>
        </w:div>
        <w:div w:id="1626615170">
          <w:marLeft w:val="547"/>
          <w:marRight w:val="0"/>
          <w:marTop w:val="60"/>
          <w:marBottom w:val="120"/>
          <w:divBdr>
            <w:top w:val="none" w:sz="0" w:space="0" w:color="auto"/>
            <w:left w:val="none" w:sz="0" w:space="0" w:color="auto"/>
            <w:bottom w:val="none" w:sz="0" w:space="0" w:color="auto"/>
            <w:right w:val="none" w:sz="0" w:space="0" w:color="auto"/>
          </w:divBdr>
        </w:div>
        <w:div w:id="1777678235">
          <w:marLeft w:val="547"/>
          <w:marRight w:val="0"/>
          <w:marTop w:val="60"/>
          <w:marBottom w:val="120"/>
          <w:divBdr>
            <w:top w:val="none" w:sz="0" w:space="0" w:color="auto"/>
            <w:left w:val="none" w:sz="0" w:space="0" w:color="auto"/>
            <w:bottom w:val="none" w:sz="0" w:space="0" w:color="auto"/>
            <w:right w:val="none" w:sz="0" w:space="0" w:color="auto"/>
          </w:divBdr>
        </w:div>
        <w:div w:id="973561971">
          <w:marLeft w:val="547"/>
          <w:marRight w:val="0"/>
          <w:marTop w:val="60"/>
          <w:marBottom w:val="120"/>
          <w:divBdr>
            <w:top w:val="none" w:sz="0" w:space="0" w:color="auto"/>
            <w:left w:val="none" w:sz="0" w:space="0" w:color="auto"/>
            <w:bottom w:val="none" w:sz="0" w:space="0" w:color="auto"/>
            <w:right w:val="none" w:sz="0" w:space="0" w:color="auto"/>
          </w:divBdr>
        </w:div>
        <w:div w:id="1348361701">
          <w:marLeft w:val="547"/>
          <w:marRight w:val="0"/>
          <w:marTop w:val="60"/>
          <w:marBottom w:val="120"/>
          <w:divBdr>
            <w:top w:val="none" w:sz="0" w:space="0" w:color="auto"/>
            <w:left w:val="none" w:sz="0" w:space="0" w:color="auto"/>
            <w:bottom w:val="none" w:sz="0" w:space="0" w:color="auto"/>
            <w:right w:val="none" w:sz="0" w:space="0" w:color="auto"/>
          </w:divBdr>
        </w:div>
        <w:div w:id="2050060937">
          <w:marLeft w:val="547"/>
          <w:marRight w:val="0"/>
          <w:marTop w:val="60"/>
          <w:marBottom w:val="120"/>
          <w:divBdr>
            <w:top w:val="none" w:sz="0" w:space="0" w:color="auto"/>
            <w:left w:val="none" w:sz="0" w:space="0" w:color="auto"/>
            <w:bottom w:val="none" w:sz="0" w:space="0" w:color="auto"/>
            <w:right w:val="none" w:sz="0" w:space="0" w:color="auto"/>
          </w:divBdr>
        </w:div>
        <w:div w:id="1202479349">
          <w:marLeft w:val="547"/>
          <w:marRight w:val="0"/>
          <w:marTop w:val="60"/>
          <w:marBottom w:val="120"/>
          <w:divBdr>
            <w:top w:val="none" w:sz="0" w:space="0" w:color="auto"/>
            <w:left w:val="none" w:sz="0" w:space="0" w:color="auto"/>
            <w:bottom w:val="none" w:sz="0" w:space="0" w:color="auto"/>
            <w:right w:val="none" w:sz="0" w:space="0" w:color="auto"/>
          </w:divBdr>
        </w:div>
        <w:div w:id="1881549172">
          <w:marLeft w:val="547"/>
          <w:marRight w:val="0"/>
          <w:marTop w:val="60"/>
          <w:marBottom w:val="120"/>
          <w:divBdr>
            <w:top w:val="none" w:sz="0" w:space="0" w:color="auto"/>
            <w:left w:val="none" w:sz="0" w:space="0" w:color="auto"/>
            <w:bottom w:val="none" w:sz="0" w:space="0" w:color="auto"/>
            <w:right w:val="none" w:sz="0" w:space="0" w:color="auto"/>
          </w:divBdr>
        </w:div>
      </w:divsChild>
    </w:div>
    <w:div w:id="1588153315">
      <w:bodyDiv w:val="1"/>
      <w:marLeft w:val="0"/>
      <w:marRight w:val="0"/>
      <w:marTop w:val="0"/>
      <w:marBottom w:val="0"/>
      <w:divBdr>
        <w:top w:val="none" w:sz="0" w:space="0" w:color="auto"/>
        <w:left w:val="none" w:sz="0" w:space="0" w:color="auto"/>
        <w:bottom w:val="none" w:sz="0" w:space="0" w:color="auto"/>
        <w:right w:val="none" w:sz="0" w:space="0" w:color="auto"/>
      </w:divBdr>
      <w:divsChild>
        <w:div w:id="504907864">
          <w:marLeft w:val="547"/>
          <w:marRight w:val="0"/>
          <w:marTop w:val="67"/>
          <w:marBottom w:val="0"/>
          <w:divBdr>
            <w:top w:val="none" w:sz="0" w:space="0" w:color="auto"/>
            <w:left w:val="none" w:sz="0" w:space="0" w:color="auto"/>
            <w:bottom w:val="none" w:sz="0" w:space="0" w:color="auto"/>
            <w:right w:val="none" w:sz="0" w:space="0" w:color="auto"/>
          </w:divBdr>
        </w:div>
        <w:div w:id="1899781640">
          <w:marLeft w:val="547"/>
          <w:marRight w:val="0"/>
          <w:marTop w:val="67"/>
          <w:marBottom w:val="0"/>
          <w:divBdr>
            <w:top w:val="none" w:sz="0" w:space="0" w:color="auto"/>
            <w:left w:val="none" w:sz="0" w:space="0" w:color="auto"/>
            <w:bottom w:val="none" w:sz="0" w:space="0" w:color="auto"/>
            <w:right w:val="none" w:sz="0" w:space="0" w:color="auto"/>
          </w:divBdr>
        </w:div>
        <w:div w:id="240677951">
          <w:marLeft w:val="547"/>
          <w:marRight w:val="0"/>
          <w:marTop w:val="67"/>
          <w:marBottom w:val="0"/>
          <w:divBdr>
            <w:top w:val="none" w:sz="0" w:space="0" w:color="auto"/>
            <w:left w:val="none" w:sz="0" w:space="0" w:color="auto"/>
            <w:bottom w:val="none" w:sz="0" w:space="0" w:color="auto"/>
            <w:right w:val="none" w:sz="0" w:space="0" w:color="auto"/>
          </w:divBdr>
        </w:div>
        <w:div w:id="7759898">
          <w:marLeft w:val="547"/>
          <w:marRight w:val="0"/>
          <w:marTop w:val="67"/>
          <w:marBottom w:val="0"/>
          <w:divBdr>
            <w:top w:val="none" w:sz="0" w:space="0" w:color="auto"/>
            <w:left w:val="none" w:sz="0" w:space="0" w:color="auto"/>
            <w:bottom w:val="none" w:sz="0" w:space="0" w:color="auto"/>
            <w:right w:val="none" w:sz="0" w:space="0" w:color="auto"/>
          </w:divBdr>
        </w:div>
        <w:div w:id="1060515699">
          <w:marLeft w:val="547"/>
          <w:marRight w:val="0"/>
          <w:marTop w:val="67"/>
          <w:marBottom w:val="120"/>
          <w:divBdr>
            <w:top w:val="none" w:sz="0" w:space="0" w:color="auto"/>
            <w:left w:val="none" w:sz="0" w:space="0" w:color="auto"/>
            <w:bottom w:val="none" w:sz="0" w:space="0" w:color="auto"/>
            <w:right w:val="none" w:sz="0" w:space="0" w:color="auto"/>
          </w:divBdr>
        </w:div>
        <w:div w:id="2024279183">
          <w:marLeft w:val="547"/>
          <w:marRight w:val="0"/>
          <w:marTop w:val="0"/>
          <w:marBottom w:val="0"/>
          <w:divBdr>
            <w:top w:val="none" w:sz="0" w:space="0" w:color="auto"/>
            <w:left w:val="none" w:sz="0" w:space="0" w:color="auto"/>
            <w:bottom w:val="none" w:sz="0" w:space="0" w:color="auto"/>
            <w:right w:val="none" w:sz="0" w:space="0" w:color="auto"/>
          </w:divBdr>
        </w:div>
        <w:div w:id="1172261018">
          <w:marLeft w:val="547"/>
          <w:marRight w:val="0"/>
          <w:marTop w:val="67"/>
          <w:marBottom w:val="0"/>
          <w:divBdr>
            <w:top w:val="none" w:sz="0" w:space="0" w:color="auto"/>
            <w:left w:val="none" w:sz="0" w:space="0" w:color="auto"/>
            <w:bottom w:val="none" w:sz="0" w:space="0" w:color="auto"/>
            <w:right w:val="none" w:sz="0" w:space="0" w:color="auto"/>
          </w:divBdr>
        </w:div>
      </w:divsChild>
    </w:div>
    <w:div w:id="20762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yperlink" Target="mailto:nwfc@environment.gov.au" TargetMode="External"/><Relationship Id="rId39" Type="http://schemas.openxmlformats.org/officeDocument/2006/relationships/chart" Target="charts/chart9.xml"/><Relationship Id="rId21" Type="http://schemas.openxmlformats.org/officeDocument/2006/relationships/image" Target="media/image4.jpeg"/><Relationship Id="rId34" Type="http://schemas.openxmlformats.org/officeDocument/2006/relationships/chart" Target="charts/chart4.xml"/><Relationship Id="rId42" Type="http://schemas.openxmlformats.org/officeDocument/2006/relationships/header" Target="header14.xml"/><Relationship Id="rId47" Type="http://schemas.openxmlformats.org/officeDocument/2006/relationships/hyperlink" Target="http://www.nwfc.gov.au" TargetMode="External"/><Relationship Id="rId50" Type="http://schemas.openxmlformats.org/officeDocument/2006/relationships/header" Target="header19.xml"/><Relationship Id="rId55" Type="http://schemas.openxmlformats.org/officeDocument/2006/relationships/header" Target="header24.xml"/><Relationship Id="rId63" Type="http://schemas.openxmlformats.org/officeDocument/2006/relationships/hyperlink" Target="https://www.nwfc.gov.au/publications/guide-conciliation-meetings" TargetMode="External"/><Relationship Id="rId68" Type="http://schemas.openxmlformats.org/officeDocument/2006/relationships/hyperlink" Target="http://www.environment.gov.au/privacy-policy" TargetMode="External"/><Relationship Id="rId7" Type="http://schemas.openxmlformats.org/officeDocument/2006/relationships/endnotes" Target="endnotes.xml"/><Relationship Id="rId71" Type="http://schemas.openxmlformats.org/officeDocument/2006/relationships/header" Target="header33.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3.xml"/><Relationship Id="rId11" Type="http://schemas.openxmlformats.org/officeDocument/2006/relationships/image" Target="media/image2.png"/><Relationship Id="rId24" Type="http://schemas.openxmlformats.org/officeDocument/2006/relationships/footer" Target="footer4.xml"/><Relationship Id="rId32" Type="http://schemas.openxmlformats.org/officeDocument/2006/relationships/chart" Target="charts/chart2.xml"/><Relationship Id="rId37" Type="http://schemas.openxmlformats.org/officeDocument/2006/relationships/chart" Target="charts/chart7.xml"/><Relationship Id="rId40" Type="http://schemas.openxmlformats.org/officeDocument/2006/relationships/chart" Target="charts/chart10.xml"/><Relationship Id="rId45" Type="http://schemas.openxmlformats.org/officeDocument/2006/relationships/chart" Target="charts/chart12.xml"/><Relationship Id="rId53" Type="http://schemas.openxmlformats.org/officeDocument/2006/relationships/header" Target="header22.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chart" Target="charts/chart6.xml"/><Relationship Id="rId49" Type="http://schemas.openxmlformats.org/officeDocument/2006/relationships/header" Target="header18.xml"/><Relationship Id="rId57" Type="http://schemas.openxmlformats.org/officeDocument/2006/relationships/header" Target="header26.xml"/><Relationship Id="rId61" Type="http://schemas.openxmlformats.org/officeDocument/2006/relationships/hyperlink" Target="http://www.nwfc.gov.au" TargetMode="Externa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chart" Target="charts/chart1.xml"/><Relationship Id="rId44" Type="http://schemas.openxmlformats.org/officeDocument/2006/relationships/header" Target="header16.xml"/><Relationship Id="rId52" Type="http://schemas.openxmlformats.org/officeDocument/2006/relationships/header" Target="header21.xml"/><Relationship Id="rId60" Type="http://schemas.openxmlformats.org/officeDocument/2006/relationships/image" Target="media/image5.png"/><Relationship Id="rId65" Type="http://schemas.openxmlformats.org/officeDocument/2006/relationships/header" Target="header30.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yperlink" Target="http://www.nwfc.gov.au" TargetMode="External"/><Relationship Id="rId35" Type="http://schemas.openxmlformats.org/officeDocument/2006/relationships/chart" Target="charts/chart5.xml"/><Relationship Id="rId43" Type="http://schemas.openxmlformats.org/officeDocument/2006/relationships/header" Target="header15.xml"/><Relationship Id="rId48" Type="http://schemas.openxmlformats.org/officeDocument/2006/relationships/header" Target="header17.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hyperlink" Target="http://www.environment.gov.au/privacy-policy" TargetMode="External"/><Relationship Id="rId8" Type="http://schemas.openxmlformats.org/officeDocument/2006/relationships/image" Target="media/image1.png"/><Relationship Id="rId51" Type="http://schemas.openxmlformats.org/officeDocument/2006/relationships/header" Target="header20.xml"/><Relationship Id="rId72" Type="http://schemas.openxmlformats.org/officeDocument/2006/relationships/header" Target="header3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chart" Target="charts/chart3.xml"/><Relationship Id="rId38" Type="http://schemas.openxmlformats.org/officeDocument/2006/relationships/chart" Target="charts/chart8.xml"/><Relationship Id="rId46" Type="http://schemas.openxmlformats.org/officeDocument/2006/relationships/hyperlink" Target="https://www.nwfc.gov.au/publications/annual-report-2016" TargetMode="External"/><Relationship Id="rId59" Type="http://schemas.openxmlformats.org/officeDocument/2006/relationships/header" Target="header28.xml"/><Relationship Id="rId67" Type="http://schemas.openxmlformats.org/officeDocument/2006/relationships/hyperlink" Target="http://www.nwfc.gov.au" TargetMode="External"/><Relationship Id="rId20" Type="http://schemas.openxmlformats.org/officeDocument/2006/relationships/hyperlink" Target="http://www.nwfc.gov.au" TargetMode="External"/><Relationship Id="rId41" Type="http://schemas.openxmlformats.org/officeDocument/2006/relationships/chart" Target="charts/chart11.xml"/><Relationship Id="rId54" Type="http://schemas.openxmlformats.org/officeDocument/2006/relationships/header" Target="header23.xml"/><Relationship Id="rId62" Type="http://schemas.openxmlformats.org/officeDocument/2006/relationships/hyperlink" Target="http://www.nwfc.gov.au" TargetMode="External"/><Relationship Id="rId70"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1: Wind Farm Complaints by Development Stage in 2017</a:t>
            </a:r>
            <a:endParaRPr lang="en-AU" sz="1400">
              <a:effectLst/>
            </a:endParaRPr>
          </a:p>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(by number of complaints)</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4"/>
            <c:bubble3D val="0"/>
            <c:spPr>
              <a:solidFill>
                <a:schemeClr val="accent5"/>
              </a:solidFill>
              <a:ln w="19050">
                <a:solidFill>
                  <a:schemeClr val="lt1"/>
                </a:solidFill>
              </a:ln>
              <a:effectLst/>
            </c:spPr>
          </c:dPt>
          <c:dLbls>
            <c:dLbl>
              <c:idx val="0"/>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Operating wind farms</c:v>
                </c:pt>
                <c:pt idx="1">
                  <c:v>Proposed wind farms</c:v>
                </c:pt>
                <c:pt idx="2">
                  <c:v>No wind farm specified</c:v>
                </c:pt>
              </c:strCache>
            </c:strRef>
          </c:cat>
          <c:val>
            <c:numRef>
              <c:f>Sheet1!$B$2:$B$4</c:f>
              <c:numCache>
                <c:formatCode>General</c:formatCode>
                <c:ptCount val="3"/>
                <c:pt idx="0">
                  <c:v>11</c:v>
                </c:pt>
                <c:pt idx="1">
                  <c:v>54</c:v>
                </c:pt>
                <c:pt idx="2">
                  <c:v>8</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10: Top</a:t>
            </a:r>
            <a:r>
              <a:rPr lang="en-US" baseline="0"/>
              <a:t> I</a:t>
            </a:r>
            <a:r>
              <a:rPr lang="en-US"/>
              <a:t>ssues Raised by Complainants</a:t>
            </a:r>
          </a:p>
          <a:p>
            <a:pPr>
              <a:defRPr sz="1400" b="0" i="0" u="none" strike="noStrike" kern="1200" spc="0" baseline="0">
                <a:solidFill>
                  <a:schemeClr val="tx1">
                    <a:lumMod val="65000"/>
                    <a:lumOff val="35000"/>
                  </a:schemeClr>
                </a:solidFill>
                <a:latin typeface="+mn-lt"/>
                <a:ea typeface="+mn-ea"/>
                <a:cs typeface="+mn-cs"/>
              </a:defRPr>
            </a:pPr>
            <a:r>
              <a:rPr lang="en-US" sz="1200"/>
              <a:t>(note: a complaint may include more than one issue)</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1 January 2017 - 31 December 2017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Noise</c:v>
                </c:pt>
                <c:pt idx="1">
                  <c:v>Amenity</c:v>
                </c:pt>
                <c:pt idx="2">
                  <c:v>Health</c:v>
                </c:pt>
                <c:pt idx="3">
                  <c:v>Economic loss</c:v>
                </c:pt>
                <c:pt idx="4">
                  <c:v>Natural environment</c:v>
                </c:pt>
                <c:pt idx="5">
                  <c:v>Planning Process</c:v>
                </c:pt>
                <c:pt idx="6">
                  <c:v>Community engagement</c:v>
                </c:pt>
                <c:pt idx="7">
                  <c:v>Construction</c:v>
                </c:pt>
                <c:pt idx="8">
                  <c:v>Shadow flicker</c:v>
                </c:pt>
                <c:pt idx="9">
                  <c:v>Commercial dispute</c:v>
                </c:pt>
                <c:pt idx="10">
                  <c:v>Vibration</c:v>
                </c:pt>
              </c:strCache>
            </c:strRef>
          </c:cat>
          <c:val>
            <c:numRef>
              <c:f>Sheet1!$B$2:$B$12</c:f>
              <c:numCache>
                <c:formatCode>General</c:formatCode>
                <c:ptCount val="11"/>
                <c:pt idx="0">
                  <c:v>35</c:v>
                </c:pt>
                <c:pt idx="1">
                  <c:v>23</c:v>
                </c:pt>
                <c:pt idx="2">
                  <c:v>18</c:v>
                </c:pt>
                <c:pt idx="3">
                  <c:v>13</c:v>
                </c:pt>
                <c:pt idx="4">
                  <c:v>11</c:v>
                </c:pt>
                <c:pt idx="5">
                  <c:v>10</c:v>
                </c:pt>
                <c:pt idx="6">
                  <c:v>10</c:v>
                </c:pt>
                <c:pt idx="7">
                  <c:v>5</c:v>
                </c:pt>
                <c:pt idx="8">
                  <c:v>3</c:v>
                </c:pt>
                <c:pt idx="9">
                  <c:v>2</c:v>
                </c:pt>
                <c:pt idx="10">
                  <c:v>0</c:v>
                </c:pt>
              </c:numCache>
            </c:numRef>
          </c:val>
        </c:ser>
        <c:ser>
          <c:idx val="1"/>
          <c:order val="1"/>
          <c:tx>
            <c:strRef>
              <c:f>Sheet1!$C$1</c:f>
              <c:strCache>
                <c:ptCount val="1"/>
                <c:pt idx="0">
                  <c:v>1 November 2015 - 31 December 2016</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Sheet1!$A$2:$A$12</c:f>
              <c:strCache>
                <c:ptCount val="11"/>
                <c:pt idx="0">
                  <c:v>Noise</c:v>
                </c:pt>
                <c:pt idx="1">
                  <c:v>Amenity</c:v>
                </c:pt>
                <c:pt idx="2">
                  <c:v>Health</c:v>
                </c:pt>
                <c:pt idx="3">
                  <c:v>Economic loss</c:v>
                </c:pt>
                <c:pt idx="4">
                  <c:v>Natural environment</c:v>
                </c:pt>
                <c:pt idx="5">
                  <c:v>Planning Process</c:v>
                </c:pt>
                <c:pt idx="6">
                  <c:v>Community engagement</c:v>
                </c:pt>
                <c:pt idx="7">
                  <c:v>Construction</c:v>
                </c:pt>
                <c:pt idx="8">
                  <c:v>Shadow flicker</c:v>
                </c:pt>
                <c:pt idx="9">
                  <c:v>Commercial dispute</c:v>
                </c:pt>
                <c:pt idx="10">
                  <c:v>Vibration</c:v>
                </c:pt>
              </c:strCache>
            </c:strRef>
          </c:cat>
          <c:val>
            <c:numRef>
              <c:f>Sheet1!$C$2:$C$12</c:f>
              <c:numCache>
                <c:formatCode>General</c:formatCode>
                <c:ptCount val="11"/>
                <c:pt idx="0">
                  <c:v>48</c:v>
                </c:pt>
                <c:pt idx="1">
                  <c:v>23</c:v>
                </c:pt>
                <c:pt idx="2">
                  <c:v>43</c:v>
                </c:pt>
                <c:pt idx="3">
                  <c:v>23</c:v>
                </c:pt>
                <c:pt idx="4">
                  <c:v>16</c:v>
                </c:pt>
                <c:pt idx="5">
                  <c:v>25</c:v>
                </c:pt>
                <c:pt idx="6">
                  <c:v>14</c:v>
                </c:pt>
                <c:pt idx="7">
                  <c:v>5</c:v>
                </c:pt>
                <c:pt idx="8">
                  <c:v>0</c:v>
                </c:pt>
                <c:pt idx="9">
                  <c:v>6</c:v>
                </c:pt>
                <c:pt idx="10">
                  <c:v>18</c:v>
                </c:pt>
              </c:numCache>
            </c:numRef>
          </c:val>
        </c:ser>
        <c:dLbls>
          <c:dLblPos val="outEnd"/>
          <c:showLegendKey val="0"/>
          <c:showVal val="1"/>
          <c:showCatName val="0"/>
          <c:showSerName val="0"/>
          <c:showPercent val="0"/>
          <c:showBubbleSize val="0"/>
        </c:dLbls>
        <c:gapWidth val="219"/>
        <c:overlap val="-27"/>
        <c:axId val="108253408"/>
        <c:axId val="108235000"/>
      </c:barChart>
      <c:catAx>
        <c:axId val="108253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235000"/>
        <c:crosses val="autoZero"/>
        <c:auto val="1"/>
        <c:lblAlgn val="ctr"/>
        <c:lblOffset val="100"/>
        <c:noMultiLvlLbl val="0"/>
      </c:catAx>
      <c:valAx>
        <c:axId val="108235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253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11: Complaint Closure Reasons in 2017 (by number of matters)</a:t>
            </a:r>
          </a:p>
          <a:p>
            <a:pPr>
              <a:defRPr sz="1400" b="0" i="0" u="none" strike="noStrike" kern="1200" spc="0" baseline="0">
                <a:solidFill>
                  <a:schemeClr val="tx1">
                    <a:lumMod val="65000"/>
                    <a:lumOff val="35000"/>
                  </a:schemeClr>
                </a:solidFill>
                <a:latin typeface="+mn-lt"/>
                <a:ea typeface="+mn-ea"/>
                <a:cs typeface="+mn-cs"/>
              </a:defRPr>
            </a:pPr>
            <a:r>
              <a:rPr lang="en-US"/>
              <a:t>Total</a:t>
            </a:r>
            <a:r>
              <a:rPr lang="en-US" baseline="0"/>
              <a:t> matters closed = 78</a:t>
            </a:r>
            <a:endParaRPr lang="en-US"/>
          </a:p>
        </c:rich>
      </c:tx>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2"/>
            <c:bubble3D val="0"/>
            <c:spPr>
              <a:solidFill>
                <a:schemeClr val="accent2"/>
              </a:solidFill>
              <a:ln w="19050">
                <a:solidFill>
                  <a:schemeClr val="lt1"/>
                </a:solidFill>
              </a:ln>
              <a:effectLst/>
            </c:spPr>
          </c:dPt>
          <c:dPt>
            <c:idx val="3"/>
            <c:bubble3D val="0"/>
            <c:spPr>
              <a:solidFill>
                <a:schemeClr val="accent3"/>
              </a:solidFill>
              <a:ln w="19050">
                <a:solidFill>
                  <a:schemeClr val="lt1"/>
                </a:solidFill>
              </a:ln>
              <a:effectLst/>
            </c:spPr>
          </c:dPt>
          <c:dPt>
            <c:idx val="4"/>
            <c:bubble3D val="0"/>
            <c:spPr>
              <a:solidFill>
                <a:schemeClr val="accent4"/>
              </a:solidFill>
              <a:ln w="19050">
                <a:solidFill>
                  <a:schemeClr val="lt1"/>
                </a:solidFill>
              </a:ln>
              <a:effectLst/>
            </c:spPr>
          </c:dPt>
          <c:dLbls>
            <c:dLbl>
              <c:idx val="0"/>
              <c:layout>
                <c:manualLayout>
                  <c:x val="1.8209408194233688E-2"/>
                  <c:y val="-5.4750402576489651E-2"/>
                </c:manualLayout>
              </c:layout>
              <c:tx>
                <c:rich>
                  <a:bodyPr/>
                  <a:lstStyle/>
                  <a:p>
                    <a:fld id="{C6B0C9E4-0E03-4FBB-A758-FAC9C916851B}" type="CATEGORYNAME">
                      <a:rPr lang="en-US"/>
                      <a:pPr/>
                      <a:t>[CATEGORY NAME]</a:t>
                    </a:fld>
                    <a:r>
                      <a:rPr lang="en-US" baseline="0"/>
                      <a:t> (</a:t>
                    </a:r>
                    <a:fld id="{95432B98-CFDF-4A25-A280-63E5967EB531}"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5.2604957005563995E-2"/>
                  <c:y val="5.4750402576489533E-2"/>
                </c:manualLayout>
              </c:layout>
              <c:tx>
                <c:rich>
                  <a:bodyPr/>
                  <a:lstStyle/>
                  <a:p>
                    <a:fld id="{061B4EA5-29A7-4B89-ADE1-AD9C90F1F278}" type="CATEGORYNAME">
                      <a:rPr lang="en-US"/>
                      <a:pPr/>
                      <a:t>[CATEGORY NAME]</a:t>
                    </a:fld>
                    <a:r>
                      <a:rPr lang="en-US" baseline="0"/>
                      <a:t> (</a:t>
                    </a:r>
                    <a:fld id="{76B1F3FA-BD0C-476C-A886-08814C6A7CCC}"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2.2503516174402251E-2"/>
                  <c:y val="8.9686098654708515E-2"/>
                </c:manualLayout>
              </c:layout>
              <c:tx>
                <c:rich>
                  <a:bodyPr/>
                  <a:lstStyle/>
                  <a:p>
                    <a:fld id="{9A32A1E5-5AC8-4FAB-9BF9-72F80CED8F00}" type="CATEGORYNAME">
                      <a:rPr lang="en-US"/>
                      <a:pPr/>
                      <a:t>[CATEGORY NAME]</a:t>
                    </a:fld>
                    <a:r>
                      <a:rPr lang="en-US" baseline="0"/>
                      <a:t> (</a:t>
                    </a:r>
                    <a:fld id="{1F1D7793-644F-4B3C-AB8A-629C5C78D85B}"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0.16966134164944105"/>
                  <c:y val="3.8416321148262267E-2"/>
                </c:manualLayout>
              </c:layout>
              <c:tx>
                <c:rich>
                  <a:bodyPr/>
                  <a:lstStyle/>
                  <a:p>
                    <a:fld id="{B7EF474D-D200-4A86-A96E-FCC10B429602}" type="CATEGORYNAME">
                      <a:rPr lang="en-US"/>
                      <a:pPr/>
                      <a:t>[CATEGORY NAME]</a:t>
                    </a:fld>
                    <a:r>
                      <a:rPr lang="en-US" baseline="0"/>
                      <a:t> (</a:t>
                    </a:r>
                    <a:fld id="{61F9E52E-3312-4D63-9DFD-F7341BE012F8}"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0.16690107829348336"/>
                  <c:y val="-2.9895366218236448E-3"/>
                </c:manualLayout>
              </c:layout>
              <c:tx>
                <c:rich>
                  <a:bodyPr/>
                  <a:lstStyle/>
                  <a:p>
                    <a:fld id="{1108ADC9-BFFD-47FF-B89B-02FCA159BB7F}" type="CATEGORYNAME">
                      <a:rPr lang="en-US"/>
                      <a:pPr/>
                      <a:t>[CATEGORY NAME]</a:t>
                    </a:fld>
                    <a:r>
                      <a:rPr lang="en-US" baseline="0"/>
                      <a:t> (</a:t>
                    </a:r>
                    <a:fld id="{1F30FD9D-184A-4BDB-B169-59CF2C4C5349}"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Information provided to complainant addressing concerns raised</c:v>
                </c:pt>
                <c:pt idx="1">
                  <c:v>Complainant engaged legal representation</c:v>
                </c:pt>
                <c:pt idx="2">
                  <c:v>Complainant did not progress matter</c:v>
                </c:pt>
                <c:pt idx="3">
                  <c:v>Negotiated settlement between the parties</c:v>
                </c:pt>
                <c:pt idx="4">
                  <c:v>Other</c:v>
                </c:pt>
              </c:strCache>
            </c:strRef>
          </c:cat>
          <c:val>
            <c:numRef>
              <c:f>Sheet1!$B$2:$B$6</c:f>
              <c:numCache>
                <c:formatCode>General</c:formatCode>
                <c:ptCount val="5"/>
                <c:pt idx="0">
                  <c:v>52</c:v>
                </c:pt>
                <c:pt idx="1">
                  <c:v>3</c:v>
                </c:pt>
                <c:pt idx="2">
                  <c:v>21</c:v>
                </c:pt>
                <c:pt idx="3">
                  <c:v>1</c:v>
                </c:pt>
                <c:pt idx="4">
                  <c:v>1</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12: Complaint Closure Reasons 2015-2017                                      (by number of matters)</a:t>
            </a:r>
          </a:p>
          <a:p>
            <a:pPr>
              <a:defRPr sz="1400" b="0" i="0" u="none" strike="noStrike" kern="1200" spc="0" baseline="0">
                <a:solidFill>
                  <a:schemeClr val="tx1">
                    <a:lumMod val="65000"/>
                    <a:lumOff val="35000"/>
                  </a:schemeClr>
                </a:solidFill>
                <a:latin typeface="+mn-lt"/>
                <a:ea typeface="+mn-ea"/>
                <a:cs typeface="+mn-cs"/>
              </a:defRPr>
            </a:pPr>
            <a:r>
              <a:rPr lang="en-US"/>
              <a:t>Total</a:t>
            </a:r>
            <a:r>
              <a:rPr lang="en-US" baseline="0"/>
              <a:t> matters closed = 145</a:t>
            </a:r>
            <a:endParaRPr lang="en-US"/>
          </a:p>
        </c:rich>
      </c:tx>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2"/>
            <c:bubble3D val="0"/>
            <c:spPr>
              <a:solidFill>
                <a:schemeClr val="accent2"/>
              </a:solidFill>
              <a:ln w="19050">
                <a:solidFill>
                  <a:schemeClr val="lt1"/>
                </a:solidFill>
              </a:ln>
              <a:effectLst/>
            </c:spPr>
          </c:dPt>
          <c:dPt>
            <c:idx val="3"/>
            <c:bubble3D val="0"/>
            <c:spPr>
              <a:solidFill>
                <a:schemeClr val="accent3"/>
              </a:solidFill>
              <a:ln w="19050">
                <a:solidFill>
                  <a:schemeClr val="lt1"/>
                </a:solidFill>
              </a:ln>
              <a:effectLst/>
            </c:spPr>
          </c:dPt>
          <c:dPt>
            <c:idx val="4"/>
            <c:bubble3D val="0"/>
            <c:spPr>
              <a:solidFill>
                <a:schemeClr val="accent4"/>
              </a:solidFill>
              <a:ln w="19050">
                <a:solidFill>
                  <a:schemeClr val="lt1"/>
                </a:solidFill>
              </a:ln>
              <a:effectLst/>
            </c:spPr>
          </c:dPt>
          <c:dLbls>
            <c:dLbl>
              <c:idx val="0"/>
              <c:layout>
                <c:manualLayout>
                  <c:x val="1.7883755588673621E-2"/>
                  <c:y val="-0.13759213759213759"/>
                </c:manualLayout>
              </c:layout>
              <c:tx>
                <c:rich>
                  <a:bodyPr/>
                  <a:lstStyle/>
                  <a:p>
                    <a:fld id="{C6B0C9E4-0E03-4FBB-A758-FAC9C916851B}" type="CATEGORYNAME">
                      <a:rPr lang="en-US"/>
                      <a:pPr/>
                      <a:t>[CATEGORY NAME]</a:t>
                    </a:fld>
                    <a:r>
                      <a:rPr lang="en-US" baseline="0"/>
                      <a:t> (</a:t>
                    </a:r>
                    <a:fld id="{95432B98-CFDF-4A25-A280-63E5967EB531}"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9.3636537359067462E-2"/>
                  <c:y val="-6.0929169840060929E-2"/>
                </c:manualLayout>
              </c:layout>
              <c:tx>
                <c:rich>
                  <a:bodyPr/>
                  <a:lstStyle/>
                  <a:p>
                    <a:fld id="{B487E01F-E8A1-4764-BF81-9BADEF1EFA66}" type="CATEGORYNAME">
                      <a:rPr lang="en-US"/>
                      <a:pPr/>
                      <a:t>[CATEGORY NAME]</a:t>
                    </a:fld>
                    <a:r>
                      <a:rPr lang="en-US" baseline="0"/>
                      <a:t> (</a:t>
                    </a:r>
                    <a:fld id="{55AB543B-D2B9-49D3-B502-9B3E6B9E620E}"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4.1728763040238454E-2"/>
                  <c:y val="6.2244062244062183E-2"/>
                </c:manualLayout>
              </c:layout>
              <c:tx>
                <c:rich>
                  <a:bodyPr/>
                  <a:lstStyle/>
                  <a:p>
                    <a:fld id="{9A32A1E5-5AC8-4FAB-9BF9-72F80CED8F00}" type="CATEGORYNAME">
                      <a:rPr lang="en-US"/>
                      <a:pPr/>
                      <a:t>[CATEGORY NAME]</a:t>
                    </a:fld>
                    <a:r>
                      <a:rPr lang="en-US" baseline="0"/>
                      <a:t> (</a:t>
                    </a:r>
                    <a:fld id="{1F1D7793-644F-4B3C-AB8A-629C5C78D85B}"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0.16787828905296642"/>
                  <c:y val="2.9325161468296761E-3"/>
                </c:manualLayout>
              </c:layout>
              <c:tx>
                <c:rich>
                  <a:bodyPr/>
                  <a:lstStyle/>
                  <a:p>
                    <a:fld id="{B7EF474D-D200-4A86-A96E-FCC10B429602}" type="CATEGORYNAME">
                      <a:rPr lang="en-US"/>
                      <a:pPr/>
                      <a:t>[CATEGORY NAME]</a:t>
                    </a:fld>
                    <a:r>
                      <a:rPr lang="en-US" baseline="0"/>
                      <a:t> (</a:t>
                    </a:r>
                    <a:fld id="{61F9E52E-3312-4D63-9DFD-F7341BE012F8}"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0.10070975983725322"/>
                  <c:y val="-9.1393754760091678E-3"/>
                </c:manualLayout>
              </c:layout>
              <c:tx>
                <c:rich>
                  <a:bodyPr/>
                  <a:lstStyle/>
                  <a:p>
                    <a:fld id="{1108ADC9-BFFD-47FF-B89B-02FCA159BB7F}" type="CATEGORYNAME">
                      <a:rPr lang="en-US"/>
                      <a:pPr/>
                      <a:t>[CATEGORY NAME]</a:t>
                    </a:fld>
                    <a:r>
                      <a:rPr lang="en-US" baseline="0"/>
                      <a:t> (</a:t>
                    </a:r>
                    <a:fld id="{1F30FD9D-184A-4BDB-B169-59CF2C4C5349}"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Information provided to complainant addressing concerns raised</c:v>
                </c:pt>
                <c:pt idx="1">
                  <c:v>Complainant engaged legal representation</c:v>
                </c:pt>
                <c:pt idx="2">
                  <c:v>Complainant did not progress matter</c:v>
                </c:pt>
                <c:pt idx="3">
                  <c:v>Negotiated settlement between the parties</c:v>
                </c:pt>
                <c:pt idx="4">
                  <c:v>Other</c:v>
                </c:pt>
              </c:strCache>
            </c:strRef>
          </c:cat>
          <c:val>
            <c:numRef>
              <c:f>Sheet1!$B$2:$B$6</c:f>
              <c:numCache>
                <c:formatCode>General</c:formatCode>
                <c:ptCount val="5"/>
                <c:pt idx="0">
                  <c:v>84</c:v>
                </c:pt>
                <c:pt idx="1">
                  <c:v>4</c:v>
                </c:pt>
                <c:pt idx="2">
                  <c:v>52</c:v>
                </c:pt>
                <c:pt idx="3">
                  <c:v>3</c:v>
                </c:pt>
                <c:pt idx="4">
                  <c:v>2</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2: Operating Wind Farm Complaints in 2017 - Wind Farm Locations (by number of complaints)</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4"/>
            <c:bubble3D val="0"/>
            <c:spPr>
              <a:solidFill>
                <a:schemeClr val="accent5"/>
              </a:solidFill>
              <a:ln w="19050">
                <a:solidFill>
                  <a:schemeClr val="lt1"/>
                </a:solidFill>
              </a:ln>
              <a:effectLst/>
            </c:spPr>
          </c:dPt>
          <c:dLbls>
            <c:dLbl>
              <c:idx val="0"/>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Victoria</c:v>
                </c:pt>
                <c:pt idx="1">
                  <c:v>New South Wales</c:v>
                </c:pt>
                <c:pt idx="2">
                  <c:v>South Australia</c:v>
                </c:pt>
              </c:strCache>
            </c:strRef>
          </c:cat>
          <c:val>
            <c:numRef>
              <c:f>Sheet1!$B$2:$B$4</c:f>
              <c:numCache>
                <c:formatCode>General</c:formatCode>
                <c:ptCount val="3"/>
                <c:pt idx="0">
                  <c:v>7</c:v>
                </c:pt>
                <c:pt idx="1">
                  <c:v>3</c:v>
                </c:pt>
                <c:pt idx="2">
                  <c:v>1</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3: Operating Wind Farm Complaints in 2017 - Wind Farm Locations (by number of wind farms)</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4"/>
            <c:bubble3D val="0"/>
            <c:spPr>
              <a:solidFill>
                <a:schemeClr val="accent5"/>
              </a:solidFill>
              <a:ln w="19050">
                <a:solidFill>
                  <a:schemeClr val="lt1"/>
                </a:solidFill>
              </a:ln>
              <a:effectLst/>
            </c:spPr>
          </c:dPt>
          <c:dLbls>
            <c:dLbl>
              <c:idx val="0"/>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outEnd"/>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Victoria</c:v>
                </c:pt>
                <c:pt idx="1">
                  <c:v>New South Wales</c:v>
                </c:pt>
                <c:pt idx="2">
                  <c:v>South Australia</c:v>
                </c:pt>
              </c:strCache>
            </c:strRef>
          </c:cat>
          <c:val>
            <c:numRef>
              <c:f>Sheet1!$B$2:$B$4</c:f>
              <c:numCache>
                <c:formatCode>General</c:formatCode>
                <c:ptCount val="3"/>
                <c:pt idx="0">
                  <c:v>3</c:v>
                </c:pt>
                <c:pt idx="1">
                  <c:v>1</c:v>
                </c:pt>
                <c:pt idx="2">
                  <c:v>1</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4: Operating Wind Farm Complaints Nov 2015 - Dec 2017        Wind Farm Locations (by number of complaints)</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5.7328492260653542E-2"/>
                  <c:y val="-3.1250000000000062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4.0129944582457514E-2"/>
                  <c:y val="-2.4305555555555556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Victoria</c:v>
                </c:pt>
                <c:pt idx="1">
                  <c:v>New South Wales</c:v>
                </c:pt>
                <c:pt idx="2">
                  <c:v>South Australia</c:v>
                </c:pt>
              </c:strCache>
            </c:strRef>
          </c:cat>
          <c:val>
            <c:numRef>
              <c:f>Sheet1!$B$2:$B$4</c:f>
              <c:numCache>
                <c:formatCode>General</c:formatCode>
                <c:ptCount val="3"/>
                <c:pt idx="0">
                  <c:v>31</c:v>
                </c:pt>
                <c:pt idx="1">
                  <c:v>9</c:v>
                </c:pt>
                <c:pt idx="2">
                  <c:v>17</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5: Operating Wind Farm Complaints Nov 2015 - Dec 2017                Wind Farm Locations (by number of wind farms)</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1.1465698452130569E-2"/>
                  <c:y val="-3.8194444444444572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2.2931396904261436E-2"/>
                  <c:y val="5.2083333333333336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Victoria</c:v>
                </c:pt>
                <c:pt idx="1">
                  <c:v>New South Wales</c:v>
                </c:pt>
                <c:pt idx="2">
                  <c:v>South Australia</c:v>
                </c:pt>
              </c:strCache>
            </c:strRef>
          </c:cat>
          <c:val>
            <c:numRef>
              <c:f>Sheet1!$B$2:$B$4</c:f>
              <c:numCache>
                <c:formatCode>General</c:formatCode>
                <c:ptCount val="3"/>
                <c:pt idx="0">
                  <c:v>5</c:v>
                </c:pt>
                <c:pt idx="1">
                  <c:v>2</c:v>
                </c:pt>
                <c:pt idx="2">
                  <c:v>2</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6: Proposed Wind Farm Complaints in 2017 - Wind Farm Locations</a:t>
            </a:r>
            <a:r>
              <a:rPr lang="en-AU" sz="1400" b="0" i="0" baseline="0">
                <a:effectLst/>
              </a:rPr>
              <a:t> </a:t>
            </a:r>
            <a:r>
              <a:rPr lang="en-US" sz="1400" b="0" i="0" baseline="0">
                <a:effectLst/>
              </a:rPr>
              <a:t>(by </a:t>
            </a:r>
            <a:r>
              <a:rPr lang="en-US" sz="1400" b="0" i="0" u="none" strike="noStrike" baseline="0">
                <a:effectLst/>
              </a:rPr>
              <a:t>number of complaints</a:t>
            </a:r>
            <a:r>
              <a:rPr lang="en-US" sz="1400" b="0" i="0" baseline="0">
                <a:effectLst/>
              </a:rPr>
              <a:t>)</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6.8794190712784253E-2"/>
                  <c:y val="-6.2500000000000125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1.7198547678196063E-2"/>
                  <c:y val="3.125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2.1020447162239563E-2"/>
                  <c:y val="-2.0833333333333367E-2"/>
                </c:manualLayout>
              </c:layout>
              <c:tx>
                <c:rich>
                  <a:bodyPr/>
                  <a:lstStyle/>
                  <a:p>
                    <a:fld id="{97A0FC7D-3DF9-4468-B60B-B36ED8418CEA}" type="CATEGORYNAME">
                      <a:rPr lang="en-US"/>
                      <a:pPr/>
                      <a:t>[CATEGORY NAME]</a:t>
                    </a:fld>
                    <a:r>
                      <a:rPr lang="en-US" baseline="0"/>
                      <a:t> (</a:t>
                    </a:r>
                    <a:fld id="{18F236A2-A3ED-4624-A1C0-3C4A01DD735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Victoria</c:v>
                </c:pt>
                <c:pt idx="1">
                  <c:v>New South Wales</c:v>
                </c:pt>
                <c:pt idx="2">
                  <c:v>Tasmania</c:v>
                </c:pt>
                <c:pt idx="3">
                  <c:v>Queensland</c:v>
                </c:pt>
              </c:strCache>
            </c:strRef>
          </c:cat>
          <c:val>
            <c:numRef>
              <c:f>Sheet1!$B$2:$B$5</c:f>
              <c:numCache>
                <c:formatCode>General</c:formatCode>
                <c:ptCount val="4"/>
                <c:pt idx="0">
                  <c:v>42</c:v>
                </c:pt>
                <c:pt idx="1">
                  <c:v>8</c:v>
                </c:pt>
                <c:pt idx="2">
                  <c:v>1</c:v>
                </c:pt>
                <c:pt idx="3">
                  <c:v>3</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7: Proposed Wind Farm Complaints in 2017 - Wind Farm Locations</a:t>
            </a:r>
            <a:r>
              <a:rPr lang="en-AU" sz="1400" b="0" i="0" baseline="0">
                <a:effectLst/>
              </a:rPr>
              <a:t> </a:t>
            </a:r>
            <a:r>
              <a:rPr lang="en-US" sz="1400" b="0" i="0" baseline="0">
                <a:effectLst/>
              </a:rPr>
              <a:t>(by </a:t>
            </a:r>
            <a:r>
              <a:rPr lang="en-US" sz="1400" b="0" i="0" u="none" strike="noStrike" baseline="0">
                <a:effectLst/>
              </a:rPr>
              <a:t>number of wind farms</a:t>
            </a:r>
            <a:r>
              <a:rPr lang="en-US" sz="1400" b="0" i="0" baseline="0">
                <a:effectLst/>
              </a:rPr>
              <a:t>)</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6.4972291228740681E-2"/>
                  <c:y val="-7.9861111111111105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1.1465698452130709E-2"/>
                  <c:y val="2.4305555555555556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2.1020447162239563E-2"/>
                  <c:y val="-2.0833333333333367E-2"/>
                </c:manualLayout>
              </c:layout>
              <c:tx>
                <c:rich>
                  <a:bodyPr/>
                  <a:lstStyle/>
                  <a:p>
                    <a:fld id="{97A0FC7D-3DF9-4468-B60B-B36ED8418CEA}" type="CATEGORYNAME">
                      <a:rPr lang="en-US"/>
                      <a:pPr/>
                      <a:t>[CATEGORY NAME]</a:t>
                    </a:fld>
                    <a:r>
                      <a:rPr lang="en-US" baseline="0"/>
                      <a:t> (</a:t>
                    </a:r>
                    <a:fld id="{18F236A2-A3ED-4624-A1C0-3C4A01DD735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Victoria</c:v>
                </c:pt>
                <c:pt idx="1">
                  <c:v>New South Wales</c:v>
                </c:pt>
                <c:pt idx="2">
                  <c:v>Tasmania</c:v>
                </c:pt>
                <c:pt idx="3">
                  <c:v>Queensland</c:v>
                </c:pt>
              </c:strCache>
            </c:strRef>
          </c:cat>
          <c:val>
            <c:numRef>
              <c:f>Sheet1!$B$2:$B$5</c:f>
              <c:numCache>
                <c:formatCode>General</c:formatCode>
                <c:ptCount val="4"/>
                <c:pt idx="0">
                  <c:v>13</c:v>
                </c:pt>
                <c:pt idx="1">
                  <c:v>4</c:v>
                </c:pt>
                <c:pt idx="2">
                  <c:v>1</c:v>
                </c:pt>
                <c:pt idx="3">
                  <c:v>1</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8: Proposed Wind Farm Complaints Nov 2015 -Dec 2017         Wind Farm Locations</a:t>
            </a:r>
            <a:r>
              <a:rPr lang="en-AU" sz="1400" b="0" i="0" baseline="0">
                <a:effectLst/>
              </a:rPr>
              <a:t> </a:t>
            </a:r>
            <a:r>
              <a:rPr lang="en-US" sz="1400" b="0" i="0" baseline="0">
                <a:effectLst/>
              </a:rPr>
              <a:t>(by </a:t>
            </a:r>
            <a:r>
              <a:rPr lang="en-US" sz="1400" b="0" i="0" u="none" strike="noStrike" baseline="0">
                <a:effectLst/>
              </a:rPr>
              <a:t>number of complaints</a:t>
            </a:r>
            <a:r>
              <a:rPr lang="en-US" sz="1400" b="0" i="0" baseline="0">
                <a:effectLst/>
              </a:rPr>
              <a:t>)</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2.4842346646283202E-2"/>
                  <c:y val="-7.9861111111111105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1.1465698452130727E-2"/>
                  <c:y val="-5.2083333333333398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2.1020447162239563E-2"/>
                  <c:y val="-2.0833333333333367E-2"/>
                </c:manualLayout>
              </c:layout>
              <c:tx>
                <c:rich>
                  <a:bodyPr/>
                  <a:lstStyle/>
                  <a:p>
                    <a:fld id="{97A0FC7D-3DF9-4468-B60B-B36ED8418CEA}" type="CATEGORYNAME">
                      <a:rPr lang="en-US"/>
                      <a:pPr/>
                      <a:t>[CATEGORY NAME]</a:t>
                    </a:fld>
                    <a:r>
                      <a:rPr lang="en-US" baseline="0"/>
                      <a:t> (</a:t>
                    </a:r>
                    <a:fld id="{18F236A2-A3ED-4624-A1C0-3C4A01DD735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8.9814637875023889E-2"/>
                  <c:y val="-1.7361111111111112E-2"/>
                </c:manualLayout>
              </c:layout>
              <c:tx>
                <c:rich>
                  <a:bodyPr/>
                  <a:lstStyle/>
                  <a:p>
                    <a:fld id="{B947E16F-DAA7-4E01-97E4-82D792327103}" type="CATEGORYNAME">
                      <a:rPr lang="en-US"/>
                      <a:pPr/>
                      <a:t>[CATEGORY NAME]</a:t>
                    </a:fld>
                    <a:r>
                      <a:rPr lang="en-US" baseline="0"/>
                      <a:t> (</a:t>
                    </a:r>
                    <a:fld id="{5AD2232F-6C9C-4B98-A43D-6395775E4A7D}"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Victoria</c:v>
                </c:pt>
                <c:pt idx="1">
                  <c:v>New South Wales</c:v>
                </c:pt>
                <c:pt idx="2">
                  <c:v>Tasmania</c:v>
                </c:pt>
                <c:pt idx="3">
                  <c:v>Queensland</c:v>
                </c:pt>
                <c:pt idx="4">
                  <c:v>South Australia</c:v>
                </c:pt>
              </c:strCache>
            </c:strRef>
          </c:cat>
          <c:val>
            <c:numRef>
              <c:f>Sheet1!$B$2:$B$6</c:f>
              <c:numCache>
                <c:formatCode>General</c:formatCode>
                <c:ptCount val="5"/>
                <c:pt idx="0">
                  <c:v>58</c:v>
                </c:pt>
                <c:pt idx="1">
                  <c:v>25</c:v>
                </c:pt>
                <c:pt idx="2">
                  <c:v>1</c:v>
                </c:pt>
                <c:pt idx="3">
                  <c:v>5</c:v>
                </c:pt>
                <c:pt idx="4">
                  <c:v>7</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9: Proposed Wind Farm Complaints Nov 2015 - Dec 2017         Wind Farm Locations</a:t>
            </a:r>
            <a:r>
              <a:rPr lang="en-AU" sz="1400" b="0" i="0" baseline="0">
                <a:effectLst/>
              </a:rPr>
              <a:t> </a:t>
            </a:r>
            <a:r>
              <a:rPr lang="en-US" sz="1400" b="0" i="0" baseline="0">
                <a:effectLst/>
              </a:rPr>
              <a:t>(by </a:t>
            </a:r>
            <a:r>
              <a:rPr lang="en-US" sz="1400" b="0" i="0" u="none" strike="noStrike" baseline="0">
                <a:effectLst/>
              </a:rPr>
              <a:t>number of wind farms</a:t>
            </a:r>
            <a:r>
              <a:rPr lang="en-US" sz="1400" b="0" i="0" baseline="0">
                <a:effectLst/>
              </a:rPr>
              <a:t>)</a:t>
            </a:r>
            <a:endParaRPr lang="en-AU" sz="1400">
              <a:effectLst/>
            </a:endParaRPr>
          </a:p>
        </c:rich>
      </c:tx>
      <c:layout>
        <c:manualLayout>
          <c:xMode val="edge"/>
          <c:yMode val="edge"/>
          <c:x val="0.14573369184957366"/>
          <c:y val="2.0833333333333332E-2"/>
        </c:manualLayout>
      </c:layout>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2.1020447162239633E-2"/>
                  <c:y val="-4.1666666666666664E-2"/>
                </c:manualLayout>
              </c:layout>
              <c:tx>
                <c:rich>
                  <a:bodyPr/>
                  <a:lstStyle/>
                  <a:p>
                    <a:fld id="{FABAA7ED-BAE9-4919-BE34-486F9443CEBA}" type="CATEGORYNAME">
                      <a:rPr lang="en-US"/>
                      <a:pPr/>
                      <a:t>[CATEGORY NAME]</a:t>
                    </a:fld>
                    <a:r>
                      <a:rPr lang="en-US" baseline="0"/>
                      <a:t> (</a:t>
                    </a:r>
                    <a:fld id="{6627BBC8-C56A-4A50-AE13-98417E9449BC}"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1.5287597936174279E-2"/>
                  <c:y val="-4.1666666666666664E-2"/>
                </c:manualLayout>
              </c:layout>
              <c:tx>
                <c:rich>
                  <a:bodyPr/>
                  <a:lstStyle/>
                  <a:p>
                    <a:fld id="{FF35352F-2A8C-4C12-826C-7543206762EB}" type="CATEGORYNAME">
                      <a:rPr lang="en-US"/>
                      <a:pPr/>
                      <a:t>[CATEGORY NAME]</a:t>
                    </a:fld>
                    <a:r>
                      <a:rPr lang="en-US" baseline="0"/>
                      <a:t> (</a:t>
                    </a:r>
                    <a:fld id="{ED6CC19A-C6C1-4268-9731-9601BFDA0EA8}"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2"/>
              <c:layout>
                <c:manualLayout>
                  <c:x val="-1.3376648194152459E-2"/>
                  <c:y val="1.0416666666666666E-2"/>
                </c:manualLayout>
              </c:layout>
              <c:tx>
                <c:rich>
                  <a:bodyPr/>
                  <a:lstStyle/>
                  <a:p>
                    <a:fld id="{A1B56714-2D72-48B2-95C4-A2114893D7FB}" type="CATEGORYNAME">
                      <a:rPr lang="en-US"/>
                      <a:pPr/>
                      <a:t>[CATEGORY NAME]</a:t>
                    </a:fld>
                    <a:r>
                      <a:rPr lang="en-US" baseline="0"/>
                      <a:t> (</a:t>
                    </a:r>
                    <a:fld id="{C78247B8-C4B9-4E0A-B30B-F0B34BACFEF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2.1020447162239563E-2"/>
                  <c:y val="-2.0833333333333367E-2"/>
                </c:manualLayout>
              </c:layout>
              <c:tx>
                <c:rich>
                  <a:bodyPr/>
                  <a:lstStyle/>
                  <a:p>
                    <a:fld id="{97A0FC7D-3DF9-4468-B60B-B36ED8418CEA}" type="CATEGORYNAME">
                      <a:rPr lang="en-US"/>
                      <a:pPr/>
                      <a:t>[CATEGORY NAME]</a:t>
                    </a:fld>
                    <a:r>
                      <a:rPr lang="en-US" baseline="0"/>
                      <a:t> (</a:t>
                    </a:r>
                    <a:fld id="{18F236A2-A3ED-4624-A1C0-3C4A01DD735F}"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dLbl>
              <c:idx val="4"/>
              <c:layout>
                <c:manualLayout>
                  <c:x val="0.10319128606917638"/>
                  <c:y val="-2.4305555555555556E-2"/>
                </c:manualLayout>
              </c:layout>
              <c:tx>
                <c:rich>
                  <a:bodyPr/>
                  <a:lstStyle/>
                  <a:p>
                    <a:fld id="{B947E16F-DAA7-4E01-97E4-82D792327103}" type="CATEGORYNAME">
                      <a:rPr lang="en-US"/>
                      <a:pPr/>
                      <a:t>[CATEGORY NAME]</a:t>
                    </a:fld>
                    <a:r>
                      <a:rPr lang="en-US" baseline="0"/>
                      <a:t> (</a:t>
                    </a:r>
                    <a:fld id="{5AD2232F-6C9C-4B98-A43D-6395775E4A7D}" type="VALUE">
                      <a:rPr lang="en-US" baseline="0"/>
                      <a:pPr/>
                      <a:t>[VALUE]</a:t>
                    </a:fld>
                    <a:r>
                      <a:rPr lang="en-US" baseline="0"/>
                      <a:t>)</a:t>
                    </a:r>
                  </a:p>
                </c:rich>
              </c:tx>
              <c:dLblPos val="bestFit"/>
              <c:showLegendKey val="0"/>
              <c:showVal val="1"/>
              <c:showCatName val="1"/>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Victoria</c:v>
                </c:pt>
                <c:pt idx="1">
                  <c:v>New South Wales</c:v>
                </c:pt>
                <c:pt idx="2">
                  <c:v>Tasmania</c:v>
                </c:pt>
                <c:pt idx="3">
                  <c:v>Queensland</c:v>
                </c:pt>
                <c:pt idx="4">
                  <c:v>South Australia</c:v>
                </c:pt>
              </c:strCache>
            </c:strRef>
          </c:cat>
          <c:val>
            <c:numRef>
              <c:f>Sheet1!$B$2:$B$6</c:f>
              <c:numCache>
                <c:formatCode>General</c:formatCode>
                <c:ptCount val="5"/>
                <c:pt idx="0">
                  <c:v>18</c:v>
                </c:pt>
                <c:pt idx="1">
                  <c:v>8</c:v>
                </c:pt>
                <c:pt idx="2">
                  <c:v>1</c:v>
                </c:pt>
                <c:pt idx="3">
                  <c:v>2</c:v>
                </c:pt>
                <c:pt idx="4">
                  <c:v>2</c:v>
                </c:pt>
              </c:numCache>
            </c:numRef>
          </c:val>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A64E7-B32D-4AE6-AD97-B00CAB29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9261A23B</Template>
  <TotalTime>48</TotalTime>
  <Pages>60</Pages>
  <Words>24467</Words>
  <Characters>139467</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Annual Report</vt:lpstr>
    </vt:vector>
  </TitlesOfParts>
  <Company>The Department of the Environment</Company>
  <LinksUpToDate>false</LinksUpToDate>
  <CharactersWithSpaces>163607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dc:title>
  <dc:subject>to the Parliament of Australia</dc:subject>
  <dc:creator>Barker, Leigh</dc:creator>
  <cp:keywords/>
  <dc:description/>
  <cp:lastModifiedBy>Barker, Leigh</cp:lastModifiedBy>
  <cp:revision>14</cp:revision>
  <cp:lastPrinted>2018-04-11T04:05:00Z</cp:lastPrinted>
  <dcterms:created xsi:type="dcterms:W3CDTF">2018-04-10T04:39:00Z</dcterms:created>
  <dcterms:modified xsi:type="dcterms:W3CDTF">2018-04-11T04:05:00Z</dcterms:modified>
</cp:coreProperties>
</file>