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89DEA" w14:textId="666ED955" w:rsidR="00C706EC" w:rsidRPr="00AC2B84" w:rsidRDefault="00465434" w:rsidP="00673420">
      <w:pPr>
        <w:spacing w:before="120" w:after="240"/>
        <w:rPr>
          <w:rFonts w:ascii="Arial" w:hAnsi="Arial" w:cs="Arial"/>
          <w:b/>
          <w:sz w:val="32"/>
          <w:szCs w:val="32"/>
        </w:rPr>
      </w:pPr>
      <w:r w:rsidRPr="00AC2B84">
        <w:rPr>
          <w:rFonts w:ascii="Arial" w:hAnsi="Arial" w:cs="Arial"/>
          <w:b/>
          <w:sz w:val="32"/>
          <w:szCs w:val="32"/>
        </w:rPr>
        <w:t xml:space="preserve">Opening Statement to Senate Estimates </w:t>
      </w:r>
      <w:r w:rsidR="00B174A3">
        <w:rPr>
          <w:rFonts w:ascii="Arial" w:hAnsi="Arial" w:cs="Arial"/>
          <w:b/>
          <w:sz w:val="32"/>
          <w:szCs w:val="32"/>
        </w:rPr>
        <w:t xml:space="preserve">Environment and Communications Legislation Committee </w:t>
      </w:r>
      <w:r w:rsidRPr="00AC2B84">
        <w:rPr>
          <w:rFonts w:ascii="Arial" w:hAnsi="Arial" w:cs="Arial"/>
          <w:b/>
          <w:sz w:val="32"/>
          <w:szCs w:val="32"/>
        </w:rPr>
        <w:t>–</w:t>
      </w:r>
      <w:r w:rsidR="0039236B">
        <w:rPr>
          <w:rFonts w:ascii="Arial" w:hAnsi="Arial" w:cs="Arial"/>
          <w:b/>
          <w:sz w:val="32"/>
          <w:szCs w:val="32"/>
        </w:rPr>
        <w:t xml:space="preserve"> </w:t>
      </w:r>
      <w:r w:rsidR="00477515">
        <w:rPr>
          <w:rFonts w:ascii="Arial" w:hAnsi="Arial" w:cs="Arial"/>
          <w:b/>
          <w:sz w:val="32"/>
          <w:szCs w:val="32"/>
        </w:rPr>
        <w:t xml:space="preserve">8 April </w:t>
      </w:r>
      <w:r w:rsidR="00951678">
        <w:rPr>
          <w:rFonts w:ascii="Arial" w:hAnsi="Arial" w:cs="Arial"/>
          <w:b/>
          <w:sz w:val="32"/>
          <w:szCs w:val="32"/>
        </w:rPr>
        <w:t>201</w:t>
      </w:r>
      <w:r w:rsidR="00F14290">
        <w:rPr>
          <w:rFonts w:ascii="Arial" w:hAnsi="Arial" w:cs="Arial"/>
          <w:b/>
          <w:sz w:val="32"/>
          <w:szCs w:val="32"/>
        </w:rPr>
        <w:t>9</w:t>
      </w:r>
      <w:bookmarkStart w:id="0" w:name="_GoBack"/>
      <w:bookmarkEnd w:id="0"/>
    </w:p>
    <w:p w14:paraId="11FF6383" w14:textId="7CF4CDAD" w:rsidR="00465434" w:rsidRPr="0099297B" w:rsidRDefault="00465434" w:rsidP="0099297B">
      <w:pPr>
        <w:spacing w:after="240"/>
        <w:rPr>
          <w:rFonts w:ascii="Arial" w:hAnsi="Arial" w:cs="Arial"/>
          <w:b/>
          <w:sz w:val="32"/>
          <w:szCs w:val="32"/>
        </w:rPr>
      </w:pPr>
      <w:r w:rsidRPr="00AC2B84">
        <w:rPr>
          <w:rFonts w:ascii="Arial" w:hAnsi="Arial" w:cs="Arial"/>
          <w:b/>
          <w:sz w:val="32"/>
          <w:szCs w:val="32"/>
        </w:rPr>
        <w:t>Andrew Dyer – National Wind Farm Commissioner</w:t>
      </w:r>
    </w:p>
    <w:p w14:paraId="523101FD" w14:textId="77777777" w:rsidR="00477515" w:rsidRDefault="00103DE4" w:rsidP="00477515">
      <w:pPr>
        <w:spacing w:after="200"/>
      </w:pPr>
      <w:r>
        <w:t>Thank you for the opportunity to appear before Senate estimates. This is my fourth appearance since commencing in the role in late 2015.</w:t>
      </w:r>
    </w:p>
    <w:p w14:paraId="773D7A56" w14:textId="77777777" w:rsidR="00477515" w:rsidRDefault="00103DE4" w:rsidP="00477515">
      <w:pPr>
        <w:spacing w:after="200"/>
      </w:pPr>
      <w:r>
        <w:t>I have previously summarised my role for the committee and will assume the role is now well understood. For those members who are new to the committee, my terms of reference, role, and other documents that may be helpful are available on the com</w:t>
      </w:r>
      <w:r w:rsidR="00477515">
        <w:t>mission's website, nwfc.gov.au.</w:t>
      </w:r>
    </w:p>
    <w:p w14:paraId="248407E1" w14:textId="0C8B2B8F" w:rsidR="00103DE4" w:rsidRDefault="00103DE4" w:rsidP="00477515">
      <w:pPr>
        <w:spacing w:after="200"/>
      </w:pPr>
      <w:r>
        <w:t>The role was recently renewed for a further three-year term, commencing on 1 November 2018, following a review of the role by the Climate Change Authority and acceptance of their recommendations by the government and the minister. Of note is that our scope has been expanded to now include large-scale solar and storage projects.</w:t>
      </w:r>
    </w:p>
    <w:p w14:paraId="580C146E" w14:textId="77777777" w:rsidR="00477515" w:rsidRDefault="00103DE4" w:rsidP="00477515">
      <w:pPr>
        <w:spacing w:after="200"/>
      </w:pPr>
      <w:r>
        <w:t>I would like to commence by updating the committee on our complaints statistics. Overall, wind farm complaints received are predominantly from Victoria, followed by New South Wales and South Australia, with small numbers of complaints from wind farms in Queensland, Tasmania and Western Australia. The clear majority of complaints received are about proposed wind farms, with a decline in complaints being lod</w:t>
      </w:r>
      <w:r w:rsidR="00477515">
        <w:t>ged about operating wind farms.</w:t>
      </w:r>
    </w:p>
    <w:p w14:paraId="6E2712B8" w14:textId="77777777" w:rsidR="00477515" w:rsidRPr="00477515" w:rsidRDefault="00103DE4" w:rsidP="00477515">
      <w:pPr>
        <w:spacing w:after="200"/>
      </w:pPr>
      <w:r>
        <w:t xml:space="preserve">As of </w:t>
      </w:r>
      <w:r w:rsidRPr="00477515">
        <w:t>31 March 2019, the key complaint statistics since inceptio</w:t>
      </w:r>
      <w:r w:rsidR="00477515" w:rsidRPr="00477515">
        <w:t>n of the office are as follows:</w:t>
      </w:r>
    </w:p>
    <w:p w14:paraId="1CB89C55" w14:textId="792D7073" w:rsidR="00477515" w:rsidRPr="00477515" w:rsidRDefault="00477515" w:rsidP="00477515">
      <w:pPr>
        <w:pStyle w:val="ListParagraph"/>
        <w:numPr>
          <w:ilvl w:val="0"/>
          <w:numId w:val="32"/>
        </w:numPr>
        <w:rPr>
          <w:rFonts w:asciiTheme="minorHAnsi" w:hAnsiTheme="minorHAnsi"/>
        </w:rPr>
      </w:pPr>
      <w:r>
        <w:rPr>
          <w:rFonts w:asciiTheme="minorHAnsi" w:hAnsiTheme="minorHAnsi"/>
        </w:rPr>
        <w:t>A</w:t>
      </w:r>
      <w:r w:rsidR="00103DE4" w:rsidRPr="00477515">
        <w:rPr>
          <w:rFonts w:asciiTheme="minorHAnsi" w:hAnsiTheme="minorHAnsi"/>
        </w:rPr>
        <w:t xml:space="preserve"> total of 297 complaint matters have been received and 286 of </w:t>
      </w:r>
      <w:r w:rsidRPr="00477515">
        <w:rPr>
          <w:rFonts w:asciiTheme="minorHAnsi" w:hAnsiTheme="minorHAnsi"/>
        </w:rPr>
        <w:t>these matters have been closed.</w:t>
      </w:r>
    </w:p>
    <w:p w14:paraId="782EFCA8" w14:textId="5CD6B660" w:rsidR="00103DE4" w:rsidRPr="00477515" w:rsidRDefault="00103DE4" w:rsidP="00477515">
      <w:pPr>
        <w:pStyle w:val="ListParagraph"/>
        <w:numPr>
          <w:ilvl w:val="0"/>
          <w:numId w:val="32"/>
        </w:numPr>
        <w:rPr>
          <w:rFonts w:asciiTheme="minorHAnsi" w:hAnsiTheme="minorHAnsi"/>
        </w:rPr>
      </w:pPr>
      <w:r w:rsidRPr="00477515">
        <w:rPr>
          <w:rFonts w:asciiTheme="minorHAnsi" w:hAnsiTheme="minorHAnsi"/>
        </w:rPr>
        <w:t>Of the total com</w:t>
      </w:r>
      <w:r w:rsidR="00477515" w:rsidRPr="00477515">
        <w:rPr>
          <w:rFonts w:asciiTheme="minorHAnsi" w:hAnsiTheme="minorHAnsi"/>
        </w:rPr>
        <w:t xml:space="preserve">plaints received, </w:t>
      </w:r>
      <w:r w:rsidRPr="00477515">
        <w:rPr>
          <w:rFonts w:asciiTheme="minorHAnsi" w:hAnsiTheme="minorHAnsi"/>
        </w:rPr>
        <w:t>65 w</w:t>
      </w:r>
      <w:r w:rsidR="00477515" w:rsidRPr="00477515">
        <w:rPr>
          <w:rFonts w:asciiTheme="minorHAnsi" w:hAnsiTheme="minorHAnsi"/>
        </w:rPr>
        <w:t xml:space="preserve">ere about operating wind farms, </w:t>
      </w:r>
      <w:r w:rsidRPr="00477515">
        <w:rPr>
          <w:rFonts w:asciiTheme="minorHAnsi" w:hAnsiTheme="minorHAnsi"/>
        </w:rPr>
        <w:t>199 matters related to proposed wind farms</w:t>
      </w:r>
      <w:r w:rsidR="00477515" w:rsidRPr="00477515">
        <w:rPr>
          <w:rFonts w:asciiTheme="minorHAnsi" w:hAnsiTheme="minorHAnsi"/>
        </w:rPr>
        <w:t>, 29 </w:t>
      </w:r>
      <w:r w:rsidRPr="00477515">
        <w:rPr>
          <w:rFonts w:asciiTheme="minorHAnsi" w:hAnsiTheme="minorHAnsi"/>
        </w:rPr>
        <w:t>matters did not specify a wind farm</w:t>
      </w:r>
      <w:r w:rsidR="00477515" w:rsidRPr="00477515">
        <w:rPr>
          <w:rFonts w:asciiTheme="minorHAnsi" w:hAnsiTheme="minorHAnsi"/>
        </w:rPr>
        <w:t xml:space="preserve">, and </w:t>
      </w:r>
      <w:r w:rsidRPr="00477515">
        <w:rPr>
          <w:rFonts w:asciiTheme="minorHAnsi" w:hAnsiTheme="minorHAnsi"/>
        </w:rPr>
        <w:t>four matters have been received about proposed solar farms.</w:t>
      </w:r>
    </w:p>
    <w:p w14:paraId="6A99107F" w14:textId="77777777" w:rsidR="00477515" w:rsidRPr="00477515" w:rsidRDefault="00103DE4" w:rsidP="00477515">
      <w:pPr>
        <w:pStyle w:val="ListParagraph"/>
        <w:numPr>
          <w:ilvl w:val="0"/>
          <w:numId w:val="32"/>
        </w:numPr>
        <w:rPr>
          <w:rFonts w:asciiTheme="minorHAnsi" w:hAnsiTheme="minorHAnsi"/>
        </w:rPr>
      </w:pPr>
      <w:r w:rsidRPr="00477515">
        <w:rPr>
          <w:rFonts w:asciiTheme="minorHAnsi" w:hAnsiTheme="minorHAnsi"/>
        </w:rPr>
        <w:t>The 65 matters about operating wind farms relate to 11 operating wind farms. Seven of these wind farms are in Victoria, two are in New South Wales and two are in South Australia. Of these 65 matters about operating w</w:t>
      </w:r>
      <w:r w:rsidR="00477515" w:rsidRPr="00477515">
        <w:rPr>
          <w:rFonts w:asciiTheme="minorHAnsi" w:hAnsiTheme="minorHAnsi"/>
        </w:rPr>
        <w:t>ind farms, 64 have been closed.</w:t>
      </w:r>
    </w:p>
    <w:p w14:paraId="79154AA9" w14:textId="77777777" w:rsidR="00477515" w:rsidRPr="00477515" w:rsidRDefault="00103DE4" w:rsidP="00477515">
      <w:pPr>
        <w:pStyle w:val="ListParagraph"/>
        <w:numPr>
          <w:ilvl w:val="0"/>
          <w:numId w:val="32"/>
        </w:numPr>
        <w:rPr>
          <w:rFonts w:asciiTheme="minorHAnsi" w:hAnsiTheme="minorHAnsi"/>
        </w:rPr>
      </w:pPr>
      <w:r w:rsidRPr="00477515">
        <w:rPr>
          <w:rFonts w:asciiTheme="minorHAnsi" w:hAnsiTheme="minorHAnsi"/>
        </w:rPr>
        <w:t>The 199 matters about proposed wind farms relate to 53 proposed wind farms. Twenty-five of these proposed wind farms are in Victoria, 15 are in New South Wales, three are in Queensland, six are in South Australia, three are in Tasmania and one is in WA. Of the 199 matters about proposed wind farms, 190 have been closed</w:t>
      </w:r>
      <w:r w:rsidR="00477515" w:rsidRPr="00477515">
        <w:rPr>
          <w:rFonts w:asciiTheme="minorHAnsi" w:hAnsiTheme="minorHAnsi"/>
        </w:rPr>
        <w:t>.</w:t>
      </w:r>
    </w:p>
    <w:p w14:paraId="51652940" w14:textId="77777777" w:rsidR="00673420" w:rsidRDefault="00103DE4" w:rsidP="00477515">
      <w:pPr>
        <w:pStyle w:val="ListParagraph"/>
        <w:numPr>
          <w:ilvl w:val="0"/>
          <w:numId w:val="32"/>
        </w:numPr>
        <w:rPr>
          <w:rFonts w:asciiTheme="minorHAnsi" w:hAnsiTheme="minorHAnsi"/>
        </w:rPr>
        <w:sectPr w:rsidR="00673420" w:rsidSect="0067342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7" w:footer="708" w:gutter="0"/>
          <w:cols w:space="708"/>
          <w:docGrid w:linePitch="360"/>
        </w:sectPr>
      </w:pPr>
      <w:r w:rsidRPr="00477515">
        <w:rPr>
          <w:rFonts w:asciiTheme="minorHAnsi" w:hAnsiTheme="minorHAnsi"/>
        </w:rPr>
        <w:t>Of the total of 264 matters received that specified a wind farm, 170 were about wind farms in Victoria, 49 were from New South Wales, 36 were from South Australia, five were from Queensland, three were from Tasmania and one was from Western Australia.</w:t>
      </w:r>
    </w:p>
    <w:p w14:paraId="4062C3F4" w14:textId="77777777" w:rsidR="00103DE4" w:rsidRDefault="00103DE4" w:rsidP="00477515">
      <w:pPr>
        <w:spacing w:after="200"/>
      </w:pPr>
      <w:r>
        <w:lastRenderedPageBreak/>
        <w:t>Of note is that, for the 2018 calendar year, we received just eight complaint matters about four operating wind farms. All of these wind farms are in Victoria, and only one of those wind farms had been commissioned since we commenced operations. This result could indicate that, once a wind farm is built and operating and things have settled down post construction, there's a high degree of acceptance of the wind farm. It may also indicate that, with more being invested in effective community engagement and complaint resolution during the development stages, the likely of complaints post construction is low.</w:t>
      </w:r>
    </w:p>
    <w:p w14:paraId="280430C6" w14:textId="77777777" w:rsidR="00103DE4" w:rsidRDefault="00103DE4" w:rsidP="00477515">
      <w:pPr>
        <w:spacing w:after="200"/>
      </w:pPr>
      <w:r>
        <w:t>The dominant issues cited in complaints raised with our office in 2018 were amenity, community engagement, planning process, noise and environmental issues. Over the three calendar years of our operations, cited issues in complaints received that have dropped considerably include health, from 46 instances to 18; noise, from 55 to 38; and vibration, from 19 to zero. Cited issues that have increased over this time include visual amenity, from 24 instances to 57; lack of community engagement, from 15 to 41; construction, from seven to 14; and planning processes, from 26 to 42.</w:t>
      </w:r>
    </w:p>
    <w:p w14:paraId="43CFDA32" w14:textId="77777777" w:rsidR="00103DE4" w:rsidRDefault="00103DE4" w:rsidP="00477515">
      <w:pPr>
        <w:spacing w:after="200"/>
      </w:pPr>
      <w:r>
        <w:t xml:space="preserve">Moving on to engagement, we continued to place a heavy emphasis on outreach and stakeholder engagement. During 2018, I visited a number of wind farm and solar sites, and I have now visited approximately 52 sites across Australia. We regularly present and meet with community groups, including presentations to project community consultative committees. I'm a regular presenter and session chair at the Clean Energy Council conferences and will present at the CEC's wind and solar forums as well as the summit in 2019. We engage with media on a variety of topics as they arise. As an example, in 2018 I conducted two lengthy interviews in a series on ABC's </w:t>
      </w:r>
      <w:r>
        <w:rPr>
          <w:i/>
        </w:rPr>
        <w:t>Australia Wide</w:t>
      </w:r>
      <w:r w:rsidRPr="00872A17">
        <w:rPr>
          <w:i/>
        </w:rPr>
        <w:t xml:space="preserve"> </w:t>
      </w:r>
      <w:r>
        <w:t>program about wind farm topics of interest to the community.</w:t>
      </w:r>
    </w:p>
    <w:p w14:paraId="17F287D5" w14:textId="77777777" w:rsidR="00103DE4" w:rsidRDefault="00103DE4" w:rsidP="00477515">
      <w:pPr>
        <w:spacing w:after="200"/>
      </w:pPr>
      <w:r>
        <w:t>At the state government level, we are in regular engagement with relevant ministers and departments, particularly in New South Wales and Victoria, where the bulk of our complaint activities occur. At the federal level, we have close working relationships with sister agencies such as the Clean Energy Regulator, the Clean Energy Finance Corporation, ARENA, the AER, AEMO and, of course, the department.</w:t>
      </w:r>
    </w:p>
    <w:p w14:paraId="4E51BDC9" w14:textId="77777777" w:rsidR="00103DE4" w:rsidRDefault="00103DE4" w:rsidP="00477515">
      <w:pPr>
        <w:spacing w:after="200"/>
      </w:pPr>
      <w:r>
        <w:t>Finally, we continue to proactively engage with the significant and complex stakeholder network required for this role, which constantly changes as people move for whatever reason. Since commencing the role, I've met with over 1,200 stakeholders at all levels of government, community and industry.</w:t>
      </w:r>
    </w:p>
    <w:p w14:paraId="4878E8F6" w14:textId="77777777" w:rsidR="00477515" w:rsidRPr="00477515" w:rsidRDefault="00103DE4" w:rsidP="00477515">
      <w:pPr>
        <w:spacing w:after="200"/>
      </w:pPr>
      <w:bookmarkStart w:id="1" w:name="Turn039"/>
      <w:bookmarkEnd w:id="1"/>
      <w:r>
        <w:t xml:space="preserve">I'd also like to mention some of the outcomes resulting from our advocacy and recommendations </w:t>
      </w:r>
      <w:r w:rsidRPr="00477515">
        <w:t>regarding</w:t>
      </w:r>
      <w:r w:rsidR="00477515" w:rsidRPr="00477515">
        <w:t xml:space="preserve"> best practices. These include:</w:t>
      </w:r>
    </w:p>
    <w:p w14:paraId="475DFBEB" w14:textId="77777777" w:rsidR="00477515" w:rsidRPr="00477515" w:rsidRDefault="00103DE4" w:rsidP="00477515">
      <w:pPr>
        <w:pStyle w:val="ListParagraph"/>
        <w:numPr>
          <w:ilvl w:val="0"/>
          <w:numId w:val="30"/>
        </w:numPr>
        <w:rPr>
          <w:rFonts w:asciiTheme="minorHAnsi" w:hAnsiTheme="minorHAnsi"/>
        </w:rPr>
      </w:pPr>
      <w:r w:rsidRPr="00477515">
        <w:rPr>
          <w:rFonts w:asciiTheme="minorHAnsi" w:hAnsiTheme="minorHAnsi"/>
        </w:rPr>
        <w:t>the introduction of independent audits for both pre-and post-construction</w:t>
      </w:r>
      <w:r w:rsidR="00477515" w:rsidRPr="00477515">
        <w:rPr>
          <w:rFonts w:asciiTheme="minorHAnsi" w:hAnsiTheme="minorHAnsi"/>
        </w:rPr>
        <w:t xml:space="preserve"> assessment of wind-farm noise;</w:t>
      </w:r>
    </w:p>
    <w:p w14:paraId="71F6EB7B" w14:textId="77777777" w:rsidR="00477515" w:rsidRPr="00477515" w:rsidRDefault="00103DE4" w:rsidP="00477515">
      <w:pPr>
        <w:pStyle w:val="ListParagraph"/>
        <w:numPr>
          <w:ilvl w:val="0"/>
          <w:numId w:val="30"/>
        </w:numPr>
        <w:rPr>
          <w:rFonts w:asciiTheme="minorHAnsi" w:hAnsiTheme="minorHAnsi"/>
        </w:rPr>
      </w:pPr>
      <w:r w:rsidRPr="00477515">
        <w:rPr>
          <w:rFonts w:asciiTheme="minorHAnsi" w:hAnsiTheme="minorHAnsi"/>
        </w:rPr>
        <w:t>a similar audit regime being adopted f</w:t>
      </w:r>
      <w:r w:rsidR="00477515" w:rsidRPr="00477515">
        <w:rPr>
          <w:rFonts w:asciiTheme="minorHAnsi" w:hAnsiTheme="minorHAnsi"/>
        </w:rPr>
        <w:t>or aviation safety assessments;</w:t>
      </w:r>
    </w:p>
    <w:p w14:paraId="428B81B8" w14:textId="77777777" w:rsidR="00477515" w:rsidRPr="00477515" w:rsidRDefault="00103DE4" w:rsidP="00477515">
      <w:pPr>
        <w:pStyle w:val="ListParagraph"/>
        <w:numPr>
          <w:ilvl w:val="0"/>
          <w:numId w:val="30"/>
        </w:numPr>
        <w:rPr>
          <w:rFonts w:asciiTheme="minorHAnsi" w:hAnsiTheme="minorHAnsi"/>
        </w:rPr>
      </w:pPr>
      <w:r w:rsidRPr="00477515">
        <w:rPr>
          <w:rFonts w:asciiTheme="minorHAnsi" w:hAnsiTheme="minorHAnsi"/>
        </w:rPr>
        <w:t>the requirement for transmission lines that connect wind and solar farms to now have a plan</w:t>
      </w:r>
      <w:r w:rsidR="00477515" w:rsidRPr="00477515">
        <w:rPr>
          <w:rFonts w:asciiTheme="minorHAnsi" w:hAnsiTheme="minorHAnsi"/>
        </w:rPr>
        <w:t>ning permit issued in Victoria;</w:t>
      </w:r>
    </w:p>
    <w:p w14:paraId="184C1C54" w14:textId="7CFC4901" w:rsidR="00477515" w:rsidRPr="00477515" w:rsidRDefault="00103DE4" w:rsidP="00477515">
      <w:pPr>
        <w:pStyle w:val="ListParagraph"/>
        <w:numPr>
          <w:ilvl w:val="0"/>
          <w:numId w:val="30"/>
        </w:numPr>
        <w:rPr>
          <w:rFonts w:asciiTheme="minorHAnsi" w:hAnsiTheme="minorHAnsi"/>
        </w:rPr>
      </w:pPr>
      <w:r w:rsidRPr="00477515">
        <w:rPr>
          <w:rFonts w:asciiTheme="minorHAnsi" w:hAnsiTheme="minorHAnsi"/>
        </w:rPr>
        <w:t>substantive updates to the Australasian Fire and Emergency Service Authorities Council's revised position on wind farms and bushfire operations;</w:t>
      </w:r>
    </w:p>
    <w:p w14:paraId="3E67E156" w14:textId="77777777" w:rsidR="00477515" w:rsidRPr="00477515" w:rsidRDefault="00103DE4" w:rsidP="00477515">
      <w:pPr>
        <w:pStyle w:val="ListParagraph"/>
        <w:numPr>
          <w:ilvl w:val="0"/>
          <w:numId w:val="30"/>
        </w:numPr>
        <w:rPr>
          <w:rFonts w:asciiTheme="minorHAnsi" w:hAnsiTheme="minorHAnsi"/>
        </w:rPr>
      </w:pPr>
      <w:r w:rsidRPr="00477515">
        <w:rPr>
          <w:rFonts w:asciiTheme="minorHAnsi" w:hAnsiTheme="minorHAnsi"/>
        </w:rPr>
        <w:lastRenderedPageBreak/>
        <w:t>material improvements to wind-farm complaint-handling procedures utilised by indus</w:t>
      </w:r>
      <w:r w:rsidR="00477515" w:rsidRPr="00477515">
        <w:rPr>
          <w:rFonts w:asciiTheme="minorHAnsi" w:hAnsiTheme="minorHAnsi"/>
        </w:rPr>
        <w:t>try and compliance authorities;</w:t>
      </w:r>
    </w:p>
    <w:p w14:paraId="42F50FF4" w14:textId="77777777" w:rsidR="00477515" w:rsidRPr="00477515" w:rsidRDefault="00103DE4" w:rsidP="00477515">
      <w:pPr>
        <w:pStyle w:val="ListParagraph"/>
        <w:numPr>
          <w:ilvl w:val="0"/>
          <w:numId w:val="30"/>
        </w:numPr>
        <w:rPr>
          <w:rFonts w:asciiTheme="minorHAnsi" w:hAnsiTheme="minorHAnsi"/>
        </w:rPr>
      </w:pPr>
      <w:r w:rsidRPr="00477515">
        <w:rPr>
          <w:rFonts w:asciiTheme="minorHAnsi" w:hAnsiTheme="minorHAnsi"/>
        </w:rPr>
        <w:t>the hosting of roundtables to address specific issues, including t</w:t>
      </w:r>
      <w:r w:rsidR="00477515" w:rsidRPr="00477515">
        <w:rPr>
          <w:rFonts w:asciiTheme="minorHAnsi" w:hAnsiTheme="minorHAnsi"/>
        </w:rPr>
        <w:t>ransportation of longer blades;</w:t>
      </w:r>
    </w:p>
    <w:p w14:paraId="1DEEB25E" w14:textId="77777777" w:rsidR="00477515" w:rsidRPr="00477515" w:rsidRDefault="00103DE4" w:rsidP="00477515">
      <w:pPr>
        <w:pStyle w:val="ListParagraph"/>
        <w:numPr>
          <w:ilvl w:val="0"/>
          <w:numId w:val="30"/>
        </w:numPr>
        <w:rPr>
          <w:rFonts w:asciiTheme="minorHAnsi" w:hAnsiTheme="minorHAnsi"/>
        </w:rPr>
      </w:pPr>
      <w:r w:rsidRPr="00477515">
        <w:rPr>
          <w:rFonts w:asciiTheme="minorHAnsi" w:hAnsiTheme="minorHAnsi"/>
        </w:rPr>
        <w:t>consistency of aviati</w:t>
      </w:r>
      <w:r w:rsidR="00477515" w:rsidRPr="00477515">
        <w:rPr>
          <w:rFonts w:asciiTheme="minorHAnsi" w:hAnsiTheme="minorHAnsi"/>
        </w:rPr>
        <w:t>on safety lighting of turbines;</w:t>
      </w:r>
    </w:p>
    <w:p w14:paraId="72EB1D0F" w14:textId="4DC46165" w:rsidR="00477515" w:rsidRPr="00477515" w:rsidRDefault="00103DE4" w:rsidP="00477515">
      <w:pPr>
        <w:pStyle w:val="ListParagraph"/>
        <w:numPr>
          <w:ilvl w:val="0"/>
          <w:numId w:val="30"/>
        </w:numPr>
        <w:rPr>
          <w:rFonts w:asciiTheme="minorHAnsi" w:hAnsiTheme="minorHAnsi"/>
        </w:rPr>
      </w:pPr>
      <w:r w:rsidRPr="00477515">
        <w:rPr>
          <w:rFonts w:asciiTheme="minorHAnsi" w:hAnsiTheme="minorHAnsi"/>
        </w:rPr>
        <w:t>the sharing of best-practice planning approaches a</w:t>
      </w:r>
      <w:r w:rsidR="00477515" w:rsidRPr="00477515">
        <w:rPr>
          <w:rFonts w:asciiTheme="minorHAnsi" w:hAnsiTheme="minorHAnsi"/>
        </w:rPr>
        <w:t>cross all state based agencies;</w:t>
      </w:r>
      <w:r w:rsidR="00477515">
        <w:rPr>
          <w:rFonts w:asciiTheme="minorHAnsi" w:hAnsiTheme="minorHAnsi"/>
        </w:rPr>
        <w:t xml:space="preserve"> and</w:t>
      </w:r>
    </w:p>
    <w:p w14:paraId="32CBD585" w14:textId="01D94BAB" w:rsidR="00477515" w:rsidRPr="00477515" w:rsidRDefault="00103DE4" w:rsidP="00477515">
      <w:pPr>
        <w:pStyle w:val="ListParagraph"/>
        <w:numPr>
          <w:ilvl w:val="0"/>
          <w:numId w:val="30"/>
        </w:numPr>
        <w:rPr>
          <w:rFonts w:asciiTheme="minorHAnsi" w:hAnsiTheme="minorHAnsi"/>
        </w:rPr>
      </w:pPr>
      <w:r w:rsidRPr="00477515">
        <w:rPr>
          <w:rFonts w:asciiTheme="minorHAnsi" w:hAnsiTheme="minorHAnsi"/>
        </w:rPr>
        <w:t>progressive adoption of various recommendations that we have made by state and local go</w:t>
      </w:r>
      <w:r w:rsidR="00477515" w:rsidRPr="00477515">
        <w:rPr>
          <w:rFonts w:asciiTheme="minorHAnsi" w:hAnsiTheme="minorHAnsi"/>
        </w:rPr>
        <w:t>vernments, as well as industry.</w:t>
      </w:r>
    </w:p>
    <w:p w14:paraId="30EAA5D5" w14:textId="50CB0D95" w:rsidR="00103DE4" w:rsidRDefault="00103DE4" w:rsidP="00477515">
      <w:pPr>
        <w:spacing w:after="200"/>
      </w:pPr>
      <w:r w:rsidRPr="00477515">
        <w:t xml:space="preserve">These outcomes and related recommendations are detailed in our </w:t>
      </w:r>
      <w:r>
        <w:t>2018 annual report. Our office will continue to identify and champion improvements to the operation and governance of the industry, particularly arising from systemic issues.</w:t>
      </w:r>
    </w:p>
    <w:p w14:paraId="083888C9" w14:textId="77777777" w:rsidR="00477515" w:rsidRDefault="00103DE4" w:rsidP="00477515">
      <w:pPr>
        <w:spacing w:after="200"/>
      </w:pPr>
      <w:r>
        <w:t xml:space="preserve">Regarding transparency, I encourage committee members to view our website and let me know of any feedback. The site has come a long way from the temporary website that was initially set up back in early 2016. The upgraded site includes a wide range of documentation with links to improve transparency of information about wind farms, best practices and complaint handling. It also includes my annual report and links to presentations to various forums and community groups. </w:t>
      </w:r>
    </w:p>
    <w:p w14:paraId="34E89FBE" w14:textId="7BE43A32" w:rsidR="00103DE4" w:rsidRDefault="00103DE4" w:rsidP="00477515">
      <w:pPr>
        <w:spacing w:after="200"/>
      </w:pPr>
      <w:r>
        <w:t>We're in the process of further revising the website to include appropriate information on solar and storage matters. My office is also constantly working with industry members to identify and encourage improvements in their websites, particularly around contact information, product information and how to lodge a complaint.</w:t>
      </w:r>
    </w:p>
    <w:p w14:paraId="054FB264" w14:textId="77777777" w:rsidR="00477515" w:rsidRDefault="00103DE4" w:rsidP="00477515">
      <w:pPr>
        <w:spacing w:after="200"/>
      </w:pPr>
      <w:r>
        <w:t>In closing, I trust this update has been helpful. I'd particularly like to thank the department for their ongoing support and assistance to our small team. I'd also like to acknowledge the strong support and encouragement we have received from state and local governments, where much of our efforts are expended in the pursuit o</w:t>
      </w:r>
      <w:r w:rsidR="00477515">
        <w:t>f improvements and resolutions.</w:t>
      </w:r>
    </w:p>
    <w:p w14:paraId="1BF32439" w14:textId="5D7B5276" w:rsidR="00DA4E1E" w:rsidRPr="00477515" w:rsidRDefault="00103DE4" w:rsidP="00477515">
      <w:pPr>
        <w:spacing w:after="200"/>
      </w:pPr>
      <w:r>
        <w:t>I'll now hand back to the chair.</w:t>
      </w:r>
    </w:p>
    <w:sectPr w:rsidR="00DA4E1E" w:rsidRPr="00477515" w:rsidSect="00673420">
      <w:headerReference w:type="default" r:id="rId14"/>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D4E17" w14:textId="77777777" w:rsidR="005F5C5D" w:rsidRDefault="005F5C5D" w:rsidP="009D4D21">
      <w:pPr>
        <w:spacing w:line="240" w:lineRule="auto"/>
      </w:pPr>
      <w:r>
        <w:separator/>
      </w:r>
    </w:p>
  </w:endnote>
  <w:endnote w:type="continuationSeparator" w:id="0">
    <w:p w14:paraId="6BD0B6C4" w14:textId="77777777" w:rsidR="005F5C5D" w:rsidRDefault="005F5C5D" w:rsidP="009D4D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171CF" w14:textId="77777777" w:rsidR="00FC037F" w:rsidRDefault="00FC03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32066"/>
      <w:docPartObj>
        <w:docPartGallery w:val="Page Numbers (Bottom of Page)"/>
        <w:docPartUnique/>
      </w:docPartObj>
    </w:sdtPr>
    <w:sdtEndPr>
      <w:rPr>
        <w:noProof/>
      </w:rPr>
    </w:sdtEndPr>
    <w:sdtContent>
      <w:p w14:paraId="43A1BE0F" w14:textId="73040640" w:rsidR="00673420" w:rsidRDefault="00673420">
        <w:pPr>
          <w:pStyle w:val="Footer"/>
          <w:jc w:val="center"/>
        </w:pPr>
        <w:r>
          <w:fldChar w:fldCharType="begin"/>
        </w:r>
        <w:r>
          <w:instrText xml:space="preserve"> PAGE   \* MERGEFORMAT </w:instrText>
        </w:r>
        <w:r>
          <w:fldChar w:fldCharType="separate"/>
        </w:r>
        <w:r w:rsidR="00F14290">
          <w:rPr>
            <w:noProof/>
          </w:rPr>
          <w:t>2</w:t>
        </w:r>
        <w:r>
          <w:rPr>
            <w:noProof/>
          </w:rPr>
          <w:fldChar w:fldCharType="end"/>
        </w:r>
      </w:p>
    </w:sdtContent>
  </w:sdt>
  <w:p w14:paraId="41780CEE" w14:textId="77777777" w:rsidR="00673420" w:rsidRDefault="006734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C5C6C" w14:textId="77777777" w:rsidR="00FC037F" w:rsidRDefault="00FC0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E931F" w14:textId="77777777" w:rsidR="005F5C5D" w:rsidRDefault="005F5C5D" w:rsidP="009D4D21">
      <w:pPr>
        <w:spacing w:line="240" w:lineRule="auto"/>
      </w:pPr>
      <w:r>
        <w:separator/>
      </w:r>
    </w:p>
  </w:footnote>
  <w:footnote w:type="continuationSeparator" w:id="0">
    <w:p w14:paraId="058B6B67" w14:textId="77777777" w:rsidR="005F5C5D" w:rsidRDefault="005F5C5D" w:rsidP="009D4D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9635" w14:textId="77777777" w:rsidR="00FC037F" w:rsidRDefault="00FC03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36D0F" w14:textId="50AEF68D" w:rsidR="00673420" w:rsidRDefault="00673420">
    <w:pPr>
      <w:pStyle w:val="Header"/>
    </w:pPr>
    <w:r>
      <w:rPr>
        <w:rFonts w:ascii="Calibri" w:hAnsi="Calibri"/>
        <w:b/>
        <w:noProof/>
        <w:sz w:val="28"/>
        <w:szCs w:val="28"/>
        <w:lang w:eastAsia="en-AU"/>
      </w:rPr>
      <w:drawing>
        <wp:inline distT="0" distB="0" distL="0" distR="0" wp14:anchorId="63356725" wp14:editId="27204B3B">
          <wp:extent cx="5731510" cy="944852"/>
          <wp:effectExtent l="0" t="0" r="2540" b="8255"/>
          <wp:docPr id="4" name="Picture 4" descr="G:\Wind Farm Commissioner\Corporate\NWFC Logo\ONWFC_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Wind Farm Commissioner\Corporate\NWFC Logo\ONWFC_strip.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4189" r="-156" b="14189"/>
                  <a:stretch/>
                </pic:blipFill>
                <pic:spPr bwMode="auto">
                  <a:xfrm>
                    <a:off x="0" y="0"/>
                    <a:ext cx="5731510" cy="944852"/>
                  </a:xfrm>
                  <a:prstGeom prst="rect">
                    <a:avLst/>
                  </a:prstGeom>
                  <a:noFill/>
                  <a:ln>
                    <a:noFill/>
                  </a:ln>
                  <a:extLst>
                    <a:ext uri="{53640926-AAD7-44D8-BBD7-CCE9431645EC}">
                      <a14:shadowObscured xmlns:a14="http://schemas.microsoft.com/office/drawing/2010/main"/>
                    </a:ext>
                  </a:extLst>
                </pic:spPr>
              </pic:pic>
            </a:graphicData>
          </a:graphic>
        </wp:inline>
      </w:drawing>
    </w:r>
  </w:p>
  <w:p w14:paraId="71493DE9" w14:textId="6B87C781" w:rsidR="00673420" w:rsidRDefault="00F14290">
    <w:pPr>
      <w:pStyle w:val="Header"/>
    </w:pPr>
    <w:r>
      <w:rPr>
        <w:rFonts w:ascii="Calibri" w:hAnsi="Calibri"/>
        <w:sz w:val="20"/>
      </w:rPr>
      <w:pict w14:anchorId="07D454DD">
        <v:rect id="_x0000_i1025" style="width:481.9pt;height:1pt" o:hralign="center" o:hrstd="t" o:hrnoshade="t" o:hr="t" fillcolor="black [3213]"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2FEC3" w14:textId="77777777" w:rsidR="00FC037F" w:rsidRDefault="00FC03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21510" w14:textId="09B2A75A" w:rsidR="00673420" w:rsidRDefault="00673420">
    <w:pPr>
      <w:pStyle w:val="Header"/>
    </w:pPr>
  </w:p>
  <w:p w14:paraId="565EB232" w14:textId="25CAE151" w:rsidR="00673420" w:rsidRDefault="006734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60C79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20F59"/>
    <w:multiLevelType w:val="hybridMultilevel"/>
    <w:tmpl w:val="175A2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B7EC8"/>
    <w:multiLevelType w:val="hybridMultilevel"/>
    <w:tmpl w:val="1E0E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D165C9"/>
    <w:multiLevelType w:val="hybridMultilevel"/>
    <w:tmpl w:val="2F1A6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BE1ADF"/>
    <w:multiLevelType w:val="hybridMultilevel"/>
    <w:tmpl w:val="492C9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664ACE"/>
    <w:multiLevelType w:val="hybridMultilevel"/>
    <w:tmpl w:val="FF5E4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6373C9"/>
    <w:multiLevelType w:val="hybridMultilevel"/>
    <w:tmpl w:val="4D42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A319A6"/>
    <w:multiLevelType w:val="hybridMultilevel"/>
    <w:tmpl w:val="5858B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43A59"/>
    <w:multiLevelType w:val="hybridMultilevel"/>
    <w:tmpl w:val="61208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930C46"/>
    <w:multiLevelType w:val="hybridMultilevel"/>
    <w:tmpl w:val="05282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7F3A1B"/>
    <w:multiLevelType w:val="hybridMultilevel"/>
    <w:tmpl w:val="D066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E74A64"/>
    <w:multiLevelType w:val="hybridMultilevel"/>
    <w:tmpl w:val="272C4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1F2169"/>
    <w:multiLevelType w:val="hybridMultilevel"/>
    <w:tmpl w:val="0270F6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98052F"/>
    <w:multiLevelType w:val="multilevel"/>
    <w:tmpl w:val="DB24714A"/>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F712DE"/>
    <w:multiLevelType w:val="hybridMultilevel"/>
    <w:tmpl w:val="1FDA477E"/>
    <w:lvl w:ilvl="0" w:tplc="414EAA26">
      <w:start w:val="1"/>
      <w:numFmt w:val="bullet"/>
      <w:lvlText w:val="•"/>
      <w:lvlJc w:val="left"/>
      <w:pPr>
        <w:tabs>
          <w:tab w:val="num" w:pos="720"/>
        </w:tabs>
        <w:ind w:left="720" w:hanging="360"/>
      </w:pPr>
      <w:rPr>
        <w:rFonts w:ascii="Arial" w:hAnsi="Arial" w:hint="default"/>
      </w:rPr>
    </w:lvl>
    <w:lvl w:ilvl="1" w:tplc="14485A5C" w:tentative="1">
      <w:start w:val="1"/>
      <w:numFmt w:val="bullet"/>
      <w:lvlText w:val="•"/>
      <w:lvlJc w:val="left"/>
      <w:pPr>
        <w:tabs>
          <w:tab w:val="num" w:pos="1440"/>
        </w:tabs>
        <w:ind w:left="1440" w:hanging="360"/>
      </w:pPr>
      <w:rPr>
        <w:rFonts w:ascii="Arial" w:hAnsi="Arial" w:hint="default"/>
      </w:rPr>
    </w:lvl>
    <w:lvl w:ilvl="2" w:tplc="D5129DD4" w:tentative="1">
      <w:start w:val="1"/>
      <w:numFmt w:val="bullet"/>
      <w:lvlText w:val="•"/>
      <w:lvlJc w:val="left"/>
      <w:pPr>
        <w:tabs>
          <w:tab w:val="num" w:pos="2160"/>
        </w:tabs>
        <w:ind w:left="2160" w:hanging="360"/>
      </w:pPr>
      <w:rPr>
        <w:rFonts w:ascii="Arial" w:hAnsi="Arial" w:hint="default"/>
      </w:rPr>
    </w:lvl>
    <w:lvl w:ilvl="3" w:tplc="3912E822" w:tentative="1">
      <w:start w:val="1"/>
      <w:numFmt w:val="bullet"/>
      <w:lvlText w:val="•"/>
      <w:lvlJc w:val="left"/>
      <w:pPr>
        <w:tabs>
          <w:tab w:val="num" w:pos="2880"/>
        </w:tabs>
        <w:ind w:left="2880" w:hanging="360"/>
      </w:pPr>
      <w:rPr>
        <w:rFonts w:ascii="Arial" w:hAnsi="Arial" w:hint="default"/>
      </w:rPr>
    </w:lvl>
    <w:lvl w:ilvl="4" w:tplc="EDF6BE86" w:tentative="1">
      <w:start w:val="1"/>
      <w:numFmt w:val="bullet"/>
      <w:lvlText w:val="•"/>
      <w:lvlJc w:val="left"/>
      <w:pPr>
        <w:tabs>
          <w:tab w:val="num" w:pos="3600"/>
        </w:tabs>
        <w:ind w:left="3600" w:hanging="360"/>
      </w:pPr>
      <w:rPr>
        <w:rFonts w:ascii="Arial" w:hAnsi="Arial" w:hint="default"/>
      </w:rPr>
    </w:lvl>
    <w:lvl w:ilvl="5" w:tplc="AD24D822" w:tentative="1">
      <w:start w:val="1"/>
      <w:numFmt w:val="bullet"/>
      <w:lvlText w:val="•"/>
      <w:lvlJc w:val="left"/>
      <w:pPr>
        <w:tabs>
          <w:tab w:val="num" w:pos="4320"/>
        </w:tabs>
        <w:ind w:left="4320" w:hanging="360"/>
      </w:pPr>
      <w:rPr>
        <w:rFonts w:ascii="Arial" w:hAnsi="Arial" w:hint="default"/>
      </w:rPr>
    </w:lvl>
    <w:lvl w:ilvl="6" w:tplc="31AC2504" w:tentative="1">
      <w:start w:val="1"/>
      <w:numFmt w:val="bullet"/>
      <w:lvlText w:val="•"/>
      <w:lvlJc w:val="left"/>
      <w:pPr>
        <w:tabs>
          <w:tab w:val="num" w:pos="5040"/>
        </w:tabs>
        <w:ind w:left="5040" w:hanging="360"/>
      </w:pPr>
      <w:rPr>
        <w:rFonts w:ascii="Arial" w:hAnsi="Arial" w:hint="default"/>
      </w:rPr>
    </w:lvl>
    <w:lvl w:ilvl="7" w:tplc="66A89250" w:tentative="1">
      <w:start w:val="1"/>
      <w:numFmt w:val="bullet"/>
      <w:lvlText w:val="•"/>
      <w:lvlJc w:val="left"/>
      <w:pPr>
        <w:tabs>
          <w:tab w:val="num" w:pos="5760"/>
        </w:tabs>
        <w:ind w:left="5760" w:hanging="360"/>
      </w:pPr>
      <w:rPr>
        <w:rFonts w:ascii="Arial" w:hAnsi="Arial" w:hint="default"/>
      </w:rPr>
    </w:lvl>
    <w:lvl w:ilvl="8" w:tplc="7B7A5F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5026B1"/>
    <w:multiLevelType w:val="hybridMultilevel"/>
    <w:tmpl w:val="1C52B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BF70BB"/>
    <w:multiLevelType w:val="hybridMultilevel"/>
    <w:tmpl w:val="056C6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8545B"/>
    <w:multiLevelType w:val="hybridMultilevel"/>
    <w:tmpl w:val="C87CDBF0"/>
    <w:lvl w:ilvl="0" w:tplc="4330F28C">
      <w:start w:val="1"/>
      <w:numFmt w:val="bullet"/>
      <w:lvlText w:val="•"/>
      <w:lvlJc w:val="left"/>
      <w:pPr>
        <w:tabs>
          <w:tab w:val="num" w:pos="720"/>
        </w:tabs>
        <w:ind w:left="720" w:hanging="360"/>
      </w:pPr>
      <w:rPr>
        <w:rFonts w:ascii="Arial" w:hAnsi="Arial" w:hint="default"/>
      </w:rPr>
    </w:lvl>
    <w:lvl w:ilvl="1" w:tplc="9BFEF5FC" w:tentative="1">
      <w:start w:val="1"/>
      <w:numFmt w:val="bullet"/>
      <w:lvlText w:val="•"/>
      <w:lvlJc w:val="left"/>
      <w:pPr>
        <w:tabs>
          <w:tab w:val="num" w:pos="1440"/>
        </w:tabs>
        <w:ind w:left="1440" w:hanging="360"/>
      </w:pPr>
      <w:rPr>
        <w:rFonts w:ascii="Arial" w:hAnsi="Arial" w:hint="default"/>
      </w:rPr>
    </w:lvl>
    <w:lvl w:ilvl="2" w:tplc="49641236" w:tentative="1">
      <w:start w:val="1"/>
      <w:numFmt w:val="bullet"/>
      <w:lvlText w:val="•"/>
      <w:lvlJc w:val="left"/>
      <w:pPr>
        <w:tabs>
          <w:tab w:val="num" w:pos="2160"/>
        </w:tabs>
        <w:ind w:left="2160" w:hanging="360"/>
      </w:pPr>
      <w:rPr>
        <w:rFonts w:ascii="Arial" w:hAnsi="Arial" w:hint="default"/>
      </w:rPr>
    </w:lvl>
    <w:lvl w:ilvl="3" w:tplc="1BF4BD0A" w:tentative="1">
      <w:start w:val="1"/>
      <w:numFmt w:val="bullet"/>
      <w:lvlText w:val="•"/>
      <w:lvlJc w:val="left"/>
      <w:pPr>
        <w:tabs>
          <w:tab w:val="num" w:pos="2880"/>
        </w:tabs>
        <w:ind w:left="2880" w:hanging="360"/>
      </w:pPr>
      <w:rPr>
        <w:rFonts w:ascii="Arial" w:hAnsi="Arial" w:hint="default"/>
      </w:rPr>
    </w:lvl>
    <w:lvl w:ilvl="4" w:tplc="AC444B50" w:tentative="1">
      <w:start w:val="1"/>
      <w:numFmt w:val="bullet"/>
      <w:lvlText w:val="•"/>
      <w:lvlJc w:val="left"/>
      <w:pPr>
        <w:tabs>
          <w:tab w:val="num" w:pos="3600"/>
        </w:tabs>
        <w:ind w:left="3600" w:hanging="360"/>
      </w:pPr>
      <w:rPr>
        <w:rFonts w:ascii="Arial" w:hAnsi="Arial" w:hint="default"/>
      </w:rPr>
    </w:lvl>
    <w:lvl w:ilvl="5" w:tplc="8DBAB67E" w:tentative="1">
      <w:start w:val="1"/>
      <w:numFmt w:val="bullet"/>
      <w:lvlText w:val="•"/>
      <w:lvlJc w:val="left"/>
      <w:pPr>
        <w:tabs>
          <w:tab w:val="num" w:pos="4320"/>
        </w:tabs>
        <w:ind w:left="4320" w:hanging="360"/>
      </w:pPr>
      <w:rPr>
        <w:rFonts w:ascii="Arial" w:hAnsi="Arial" w:hint="default"/>
      </w:rPr>
    </w:lvl>
    <w:lvl w:ilvl="6" w:tplc="AFEA1C86" w:tentative="1">
      <w:start w:val="1"/>
      <w:numFmt w:val="bullet"/>
      <w:lvlText w:val="•"/>
      <w:lvlJc w:val="left"/>
      <w:pPr>
        <w:tabs>
          <w:tab w:val="num" w:pos="5040"/>
        </w:tabs>
        <w:ind w:left="5040" w:hanging="360"/>
      </w:pPr>
      <w:rPr>
        <w:rFonts w:ascii="Arial" w:hAnsi="Arial" w:hint="default"/>
      </w:rPr>
    </w:lvl>
    <w:lvl w:ilvl="7" w:tplc="AE1612D0" w:tentative="1">
      <w:start w:val="1"/>
      <w:numFmt w:val="bullet"/>
      <w:lvlText w:val="•"/>
      <w:lvlJc w:val="left"/>
      <w:pPr>
        <w:tabs>
          <w:tab w:val="num" w:pos="5760"/>
        </w:tabs>
        <w:ind w:left="5760" w:hanging="360"/>
      </w:pPr>
      <w:rPr>
        <w:rFonts w:ascii="Arial" w:hAnsi="Arial" w:hint="default"/>
      </w:rPr>
    </w:lvl>
    <w:lvl w:ilvl="8" w:tplc="08867C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FE7280"/>
    <w:multiLevelType w:val="hybridMultilevel"/>
    <w:tmpl w:val="B0BC94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B17259D"/>
    <w:multiLevelType w:val="hybridMultilevel"/>
    <w:tmpl w:val="521A4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B73D56"/>
    <w:multiLevelType w:val="hybridMultilevel"/>
    <w:tmpl w:val="683E6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3D593E"/>
    <w:multiLevelType w:val="hybridMultilevel"/>
    <w:tmpl w:val="AE047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9C0D82"/>
    <w:multiLevelType w:val="multilevel"/>
    <w:tmpl w:val="DB24714A"/>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F5745A"/>
    <w:multiLevelType w:val="hybridMultilevel"/>
    <w:tmpl w:val="E3944A34"/>
    <w:lvl w:ilvl="0" w:tplc="FCEC88FA">
      <w:start w:val="1"/>
      <w:numFmt w:val="bullet"/>
      <w:lvlText w:val="•"/>
      <w:lvlJc w:val="left"/>
      <w:pPr>
        <w:tabs>
          <w:tab w:val="num" w:pos="720"/>
        </w:tabs>
        <w:ind w:left="720" w:hanging="360"/>
      </w:pPr>
      <w:rPr>
        <w:rFonts w:ascii="Arial" w:hAnsi="Arial" w:hint="default"/>
      </w:rPr>
    </w:lvl>
    <w:lvl w:ilvl="1" w:tplc="48427312">
      <w:start w:val="51"/>
      <w:numFmt w:val="bullet"/>
      <w:lvlText w:val="•"/>
      <w:lvlJc w:val="left"/>
      <w:pPr>
        <w:tabs>
          <w:tab w:val="num" w:pos="1440"/>
        </w:tabs>
        <w:ind w:left="1440" w:hanging="360"/>
      </w:pPr>
      <w:rPr>
        <w:rFonts w:ascii="Arial" w:hAnsi="Arial" w:hint="default"/>
      </w:rPr>
    </w:lvl>
    <w:lvl w:ilvl="2" w:tplc="D5A6D0DE" w:tentative="1">
      <w:start w:val="1"/>
      <w:numFmt w:val="bullet"/>
      <w:lvlText w:val="•"/>
      <w:lvlJc w:val="left"/>
      <w:pPr>
        <w:tabs>
          <w:tab w:val="num" w:pos="2160"/>
        </w:tabs>
        <w:ind w:left="2160" w:hanging="360"/>
      </w:pPr>
      <w:rPr>
        <w:rFonts w:ascii="Arial" w:hAnsi="Arial" w:hint="default"/>
      </w:rPr>
    </w:lvl>
    <w:lvl w:ilvl="3" w:tplc="4E80E7F6" w:tentative="1">
      <w:start w:val="1"/>
      <w:numFmt w:val="bullet"/>
      <w:lvlText w:val="•"/>
      <w:lvlJc w:val="left"/>
      <w:pPr>
        <w:tabs>
          <w:tab w:val="num" w:pos="2880"/>
        </w:tabs>
        <w:ind w:left="2880" w:hanging="360"/>
      </w:pPr>
      <w:rPr>
        <w:rFonts w:ascii="Arial" w:hAnsi="Arial" w:hint="default"/>
      </w:rPr>
    </w:lvl>
    <w:lvl w:ilvl="4" w:tplc="85906D80" w:tentative="1">
      <w:start w:val="1"/>
      <w:numFmt w:val="bullet"/>
      <w:lvlText w:val="•"/>
      <w:lvlJc w:val="left"/>
      <w:pPr>
        <w:tabs>
          <w:tab w:val="num" w:pos="3600"/>
        </w:tabs>
        <w:ind w:left="3600" w:hanging="360"/>
      </w:pPr>
      <w:rPr>
        <w:rFonts w:ascii="Arial" w:hAnsi="Arial" w:hint="default"/>
      </w:rPr>
    </w:lvl>
    <w:lvl w:ilvl="5" w:tplc="2C0E8768" w:tentative="1">
      <w:start w:val="1"/>
      <w:numFmt w:val="bullet"/>
      <w:lvlText w:val="•"/>
      <w:lvlJc w:val="left"/>
      <w:pPr>
        <w:tabs>
          <w:tab w:val="num" w:pos="4320"/>
        </w:tabs>
        <w:ind w:left="4320" w:hanging="360"/>
      </w:pPr>
      <w:rPr>
        <w:rFonts w:ascii="Arial" w:hAnsi="Arial" w:hint="default"/>
      </w:rPr>
    </w:lvl>
    <w:lvl w:ilvl="6" w:tplc="3F9A42EE" w:tentative="1">
      <w:start w:val="1"/>
      <w:numFmt w:val="bullet"/>
      <w:lvlText w:val="•"/>
      <w:lvlJc w:val="left"/>
      <w:pPr>
        <w:tabs>
          <w:tab w:val="num" w:pos="5040"/>
        </w:tabs>
        <w:ind w:left="5040" w:hanging="360"/>
      </w:pPr>
      <w:rPr>
        <w:rFonts w:ascii="Arial" w:hAnsi="Arial" w:hint="default"/>
      </w:rPr>
    </w:lvl>
    <w:lvl w:ilvl="7" w:tplc="01407580" w:tentative="1">
      <w:start w:val="1"/>
      <w:numFmt w:val="bullet"/>
      <w:lvlText w:val="•"/>
      <w:lvlJc w:val="left"/>
      <w:pPr>
        <w:tabs>
          <w:tab w:val="num" w:pos="5760"/>
        </w:tabs>
        <w:ind w:left="5760" w:hanging="360"/>
      </w:pPr>
      <w:rPr>
        <w:rFonts w:ascii="Arial" w:hAnsi="Arial" w:hint="default"/>
      </w:rPr>
    </w:lvl>
    <w:lvl w:ilvl="8" w:tplc="3F3E9CF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3D67CF5"/>
    <w:multiLevelType w:val="hybridMultilevel"/>
    <w:tmpl w:val="539AB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77268D"/>
    <w:multiLevelType w:val="hybridMultilevel"/>
    <w:tmpl w:val="6DB66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7F3992"/>
    <w:multiLevelType w:val="hybridMultilevel"/>
    <w:tmpl w:val="B920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B761B4"/>
    <w:multiLevelType w:val="hybridMultilevel"/>
    <w:tmpl w:val="FE2CA89A"/>
    <w:lvl w:ilvl="0" w:tplc="8CDA2FE8">
      <w:start w:val="1"/>
      <w:numFmt w:val="bullet"/>
      <w:lvlText w:val="•"/>
      <w:lvlJc w:val="left"/>
      <w:pPr>
        <w:tabs>
          <w:tab w:val="num" w:pos="720"/>
        </w:tabs>
        <w:ind w:left="720" w:hanging="360"/>
      </w:pPr>
      <w:rPr>
        <w:rFonts w:ascii="Arial" w:hAnsi="Arial" w:hint="default"/>
      </w:rPr>
    </w:lvl>
    <w:lvl w:ilvl="1" w:tplc="57A24EE6" w:tentative="1">
      <w:start w:val="1"/>
      <w:numFmt w:val="bullet"/>
      <w:lvlText w:val="•"/>
      <w:lvlJc w:val="left"/>
      <w:pPr>
        <w:tabs>
          <w:tab w:val="num" w:pos="1440"/>
        </w:tabs>
        <w:ind w:left="1440" w:hanging="360"/>
      </w:pPr>
      <w:rPr>
        <w:rFonts w:ascii="Arial" w:hAnsi="Arial" w:hint="default"/>
      </w:rPr>
    </w:lvl>
    <w:lvl w:ilvl="2" w:tplc="3E84E312" w:tentative="1">
      <w:start w:val="1"/>
      <w:numFmt w:val="bullet"/>
      <w:lvlText w:val="•"/>
      <w:lvlJc w:val="left"/>
      <w:pPr>
        <w:tabs>
          <w:tab w:val="num" w:pos="2160"/>
        </w:tabs>
        <w:ind w:left="2160" w:hanging="360"/>
      </w:pPr>
      <w:rPr>
        <w:rFonts w:ascii="Arial" w:hAnsi="Arial" w:hint="default"/>
      </w:rPr>
    </w:lvl>
    <w:lvl w:ilvl="3" w:tplc="EBC469B8" w:tentative="1">
      <w:start w:val="1"/>
      <w:numFmt w:val="bullet"/>
      <w:lvlText w:val="•"/>
      <w:lvlJc w:val="left"/>
      <w:pPr>
        <w:tabs>
          <w:tab w:val="num" w:pos="2880"/>
        </w:tabs>
        <w:ind w:left="2880" w:hanging="360"/>
      </w:pPr>
      <w:rPr>
        <w:rFonts w:ascii="Arial" w:hAnsi="Arial" w:hint="default"/>
      </w:rPr>
    </w:lvl>
    <w:lvl w:ilvl="4" w:tplc="4F5CE74E" w:tentative="1">
      <w:start w:val="1"/>
      <w:numFmt w:val="bullet"/>
      <w:lvlText w:val="•"/>
      <w:lvlJc w:val="left"/>
      <w:pPr>
        <w:tabs>
          <w:tab w:val="num" w:pos="3600"/>
        </w:tabs>
        <w:ind w:left="3600" w:hanging="360"/>
      </w:pPr>
      <w:rPr>
        <w:rFonts w:ascii="Arial" w:hAnsi="Arial" w:hint="default"/>
      </w:rPr>
    </w:lvl>
    <w:lvl w:ilvl="5" w:tplc="56E89172" w:tentative="1">
      <w:start w:val="1"/>
      <w:numFmt w:val="bullet"/>
      <w:lvlText w:val="•"/>
      <w:lvlJc w:val="left"/>
      <w:pPr>
        <w:tabs>
          <w:tab w:val="num" w:pos="4320"/>
        </w:tabs>
        <w:ind w:left="4320" w:hanging="360"/>
      </w:pPr>
      <w:rPr>
        <w:rFonts w:ascii="Arial" w:hAnsi="Arial" w:hint="default"/>
      </w:rPr>
    </w:lvl>
    <w:lvl w:ilvl="6" w:tplc="55007210" w:tentative="1">
      <w:start w:val="1"/>
      <w:numFmt w:val="bullet"/>
      <w:lvlText w:val="•"/>
      <w:lvlJc w:val="left"/>
      <w:pPr>
        <w:tabs>
          <w:tab w:val="num" w:pos="5040"/>
        </w:tabs>
        <w:ind w:left="5040" w:hanging="360"/>
      </w:pPr>
      <w:rPr>
        <w:rFonts w:ascii="Arial" w:hAnsi="Arial" w:hint="default"/>
      </w:rPr>
    </w:lvl>
    <w:lvl w:ilvl="7" w:tplc="47D08258" w:tentative="1">
      <w:start w:val="1"/>
      <w:numFmt w:val="bullet"/>
      <w:lvlText w:val="•"/>
      <w:lvlJc w:val="left"/>
      <w:pPr>
        <w:tabs>
          <w:tab w:val="num" w:pos="5760"/>
        </w:tabs>
        <w:ind w:left="5760" w:hanging="360"/>
      </w:pPr>
      <w:rPr>
        <w:rFonts w:ascii="Arial" w:hAnsi="Arial" w:hint="default"/>
      </w:rPr>
    </w:lvl>
    <w:lvl w:ilvl="8" w:tplc="0306780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F575CE"/>
    <w:multiLevelType w:val="hybridMultilevel"/>
    <w:tmpl w:val="6A20E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874A27"/>
    <w:multiLevelType w:val="hybridMultilevel"/>
    <w:tmpl w:val="D8DE7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DD6517"/>
    <w:multiLevelType w:val="hybridMultilevel"/>
    <w:tmpl w:val="F2427BF0"/>
    <w:lvl w:ilvl="0" w:tplc="2B3A98C6">
      <w:start w:val="1"/>
      <w:numFmt w:val="bullet"/>
      <w:lvlText w:val="•"/>
      <w:lvlJc w:val="left"/>
      <w:pPr>
        <w:tabs>
          <w:tab w:val="num" w:pos="720"/>
        </w:tabs>
        <w:ind w:left="720" w:hanging="360"/>
      </w:pPr>
      <w:rPr>
        <w:rFonts w:ascii="Arial" w:hAnsi="Arial" w:hint="default"/>
      </w:rPr>
    </w:lvl>
    <w:lvl w:ilvl="1" w:tplc="78FA922E">
      <w:start w:val="69"/>
      <w:numFmt w:val="bullet"/>
      <w:lvlText w:val="o"/>
      <w:lvlJc w:val="left"/>
      <w:pPr>
        <w:tabs>
          <w:tab w:val="num" w:pos="1440"/>
        </w:tabs>
        <w:ind w:left="1440" w:hanging="360"/>
      </w:pPr>
      <w:rPr>
        <w:rFonts w:ascii="Courier New" w:hAnsi="Courier New" w:hint="default"/>
      </w:rPr>
    </w:lvl>
    <w:lvl w:ilvl="2" w:tplc="797C1D64" w:tentative="1">
      <w:start w:val="1"/>
      <w:numFmt w:val="bullet"/>
      <w:lvlText w:val="•"/>
      <w:lvlJc w:val="left"/>
      <w:pPr>
        <w:tabs>
          <w:tab w:val="num" w:pos="2160"/>
        </w:tabs>
        <w:ind w:left="2160" w:hanging="360"/>
      </w:pPr>
      <w:rPr>
        <w:rFonts w:ascii="Arial" w:hAnsi="Arial" w:hint="default"/>
      </w:rPr>
    </w:lvl>
    <w:lvl w:ilvl="3" w:tplc="C916E158" w:tentative="1">
      <w:start w:val="1"/>
      <w:numFmt w:val="bullet"/>
      <w:lvlText w:val="•"/>
      <w:lvlJc w:val="left"/>
      <w:pPr>
        <w:tabs>
          <w:tab w:val="num" w:pos="2880"/>
        </w:tabs>
        <w:ind w:left="2880" w:hanging="360"/>
      </w:pPr>
      <w:rPr>
        <w:rFonts w:ascii="Arial" w:hAnsi="Arial" w:hint="default"/>
      </w:rPr>
    </w:lvl>
    <w:lvl w:ilvl="4" w:tplc="863E7FDE" w:tentative="1">
      <w:start w:val="1"/>
      <w:numFmt w:val="bullet"/>
      <w:lvlText w:val="•"/>
      <w:lvlJc w:val="left"/>
      <w:pPr>
        <w:tabs>
          <w:tab w:val="num" w:pos="3600"/>
        </w:tabs>
        <w:ind w:left="3600" w:hanging="360"/>
      </w:pPr>
      <w:rPr>
        <w:rFonts w:ascii="Arial" w:hAnsi="Arial" w:hint="default"/>
      </w:rPr>
    </w:lvl>
    <w:lvl w:ilvl="5" w:tplc="C42EA4F6" w:tentative="1">
      <w:start w:val="1"/>
      <w:numFmt w:val="bullet"/>
      <w:lvlText w:val="•"/>
      <w:lvlJc w:val="left"/>
      <w:pPr>
        <w:tabs>
          <w:tab w:val="num" w:pos="4320"/>
        </w:tabs>
        <w:ind w:left="4320" w:hanging="360"/>
      </w:pPr>
      <w:rPr>
        <w:rFonts w:ascii="Arial" w:hAnsi="Arial" w:hint="default"/>
      </w:rPr>
    </w:lvl>
    <w:lvl w:ilvl="6" w:tplc="FE1070F2" w:tentative="1">
      <w:start w:val="1"/>
      <w:numFmt w:val="bullet"/>
      <w:lvlText w:val="•"/>
      <w:lvlJc w:val="left"/>
      <w:pPr>
        <w:tabs>
          <w:tab w:val="num" w:pos="5040"/>
        </w:tabs>
        <w:ind w:left="5040" w:hanging="360"/>
      </w:pPr>
      <w:rPr>
        <w:rFonts w:ascii="Arial" w:hAnsi="Arial" w:hint="default"/>
      </w:rPr>
    </w:lvl>
    <w:lvl w:ilvl="7" w:tplc="6A500CF6" w:tentative="1">
      <w:start w:val="1"/>
      <w:numFmt w:val="bullet"/>
      <w:lvlText w:val="•"/>
      <w:lvlJc w:val="left"/>
      <w:pPr>
        <w:tabs>
          <w:tab w:val="num" w:pos="5760"/>
        </w:tabs>
        <w:ind w:left="5760" w:hanging="360"/>
      </w:pPr>
      <w:rPr>
        <w:rFonts w:ascii="Arial" w:hAnsi="Arial" w:hint="default"/>
      </w:rPr>
    </w:lvl>
    <w:lvl w:ilvl="8" w:tplc="A4E20C0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FCF79DF"/>
    <w:multiLevelType w:val="hybridMultilevel"/>
    <w:tmpl w:val="402EA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1"/>
  </w:num>
  <w:num w:numId="4">
    <w:abstractNumId w:val="12"/>
  </w:num>
  <w:num w:numId="5">
    <w:abstractNumId w:val="16"/>
  </w:num>
  <w:num w:numId="6">
    <w:abstractNumId w:val="18"/>
  </w:num>
  <w:num w:numId="7">
    <w:abstractNumId w:val="31"/>
  </w:num>
  <w:num w:numId="8">
    <w:abstractNumId w:val="19"/>
  </w:num>
  <w:num w:numId="9">
    <w:abstractNumId w:val="25"/>
  </w:num>
  <w:num w:numId="10">
    <w:abstractNumId w:val="26"/>
  </w:num>
  <w:num w:numId="11">
    <w:abstractNumId w:val="6"/>
  </w:num>
  <w:num w:numId="12">
    <w:abstractNumId w:val="29"/>
  </w:num>
  <w:num w:numId="13">
    <w:abstractNumId w:val="10"/>
  </w:num>
  <w:num w:numId="14">
    <w:abstractNumId w:val="15"/>
  </w:num>
  <w:num w:numId="15">
    <w:abstractNumId w:val="9"/>
  </w:num>
  <w:num w:numId="16">
    <w:abstractNumId w:val="7"/>
  </w:num>
  <w:num w:numId="17">
    <w:abstractNumId w:val="28"/>
  </w:num>
  <w:num w:numId="18">
    <w:abstractNumId w:val="5"/>
  </w:num>
  <w:num w:numId="19">
    <w:abstractNumId w:val="0"/>
  </w:num>
  <w:num w:numId="20">
    <w:abstractNumId w:val="3"/>
  </w:num>
  <w:num w:numId="21">
    <w:abstractNumId w:val="22"/>
  </w:num>
  <w:num w:numId="22">
    <w:abstractNumId w:val="23"/>
  </w:num>
  <w:num w:numId="23">
    <w:abstractNumId w:val="4"/>
  </w:num>
  <w:num w:numId="24">
    <w:abstractNumId w:val="2"/>
  </w:num>
  <w:num w:numId="25">
    <w:abstractNumId w:val="21"/>
  </w:num>
  <w:num w:numId="26">
    <w:abstractNumId w:val="30"/>
  </w:num>
  <w:num w:numId="27">
    <w:abstractNumId w:val="17"/>
  </w:num>
  <w:num w:numId="28">
    <w:abstractNumId w:val="14"/>
  </w:num>
  <w:num w:numId="29">
    <w:abstractNumId w:val="27"/>
  </w:num>
  <w:num w:numId="30">
    <w:abstractNumId w:val="8"/>
  </w:num>
  <w:num w:numId="31">
    <w:abstractNumId w:val="1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34"/>
    <w:rsid w:val="00012D8A"/>
    <w:rsid w:val="0001681E"/>
    <w:rsid w:val="00023EF3"/>
    <w:rsid w:val="0003614B"/>
    <w:rsid w:val="00036B05"/>
    <w:rsid w:val="00064C79"/>
    <w:rsid w:val="00074A91"/>
    <w:rsid w:val="00084D57"/>
    <w:rsid w:val="000C09BC"/>
    <w:rsid w:val="000C0AD2"/>
    <w:rsid w:val="000C1019"/>
    <w:rsid w:val="000D739D"/>
    <w:rsid w:val="000E231D"/>
    <w:rsid w:val="000E28C9"/>
    <w:rsid w:val="00103DE4"/>
    <w:rsid w:val="001220DF"/>
    <w:rsid w:val="00123C11"/>
    <w:rsid w:val="00125B65"/>
    <w:rsid w:val="00131F8B"/>
    <w:rsid w:val="00161319"/>
    <w:rsid w:val="001917A3"/>
    <w:rsid w:val="001A0397"/>
    <w:rsid w:val="001B33A1"/>
    <w:rsid w:val="001B3B04"/>
    <w:rsid w:val="001B3CFF"/>
    <w:rsid w:val="001B49DE"/>
    <w:rsid w:val="001B4B83"/>
    <w:rsid w:val="001F3DCD"/>
    <w:rsid w:val="002359E5"/>
    <w:rsid w:val="00236334"/>
    <w:rsid w:val="002403DA"/>
    <w:rsid w:val="00261C55"/>
    <w:rsid w:val="00271FB0"/>
    <w:rsid w:val="002770CA"/>
    <w:rsid w:val="00282329"/>
    <w:rsid w:val="002B03CC"/>
    <w:rsid w:val="002E3EE9"/>
    <w:rsid w:val="00312B68"/>
    <w:rsid w:val="00313356"/>
    <w:rsid w:val="00322DAA"/>
    <w:rsid w:val="00326507"/>
    <w:rsid w:val="003338E8"/>
    <w:rsid w:val="00335ED1"/>
    <w:rsid w:val="00340880"/>
    <w:rsid w:val="00343F82"/>
    <w:rsid w:val="003620D6"/>
    <w:rsid w:val="0039236B"/>
    <w:rsid w:val="003C011F"/>
    <w:rsid w:val="003D0ED2"/>
    <w:rsid w:val="003D435D"/>
    <w:rsid w:val="003D5FDA"/>
    <w:rsid w:val="003E514D"/>
    <w:rsid w:val="00400221"/>
    <w:rsid w:val="00410CB0"/>
    <w:rsid w:val="00434360"/>
    <w:rsid w:val="00465434"/>
    <w:rsid w:val="004754AE"/>
    <w:rsid w:val="00477515"/>
    <w:rsid w:val="00482187"/>
    <w:rsid w:val="0048269F"/>
    <w:rsid w:val="00490F34"/>
    <w:rsid w:val="004A471C"/>
    <w:rsid w:val="004A4D1A"/>
    <w:rsid w:val="004C45D6"/>
    <w:rsid w:val="004D048C"/>
    <w:rsid w:val="004D1DBD"/>
    <w:rsid w:val="004D3114"/>
    <w:rsid w:val="004D5822"/>
    <w:rsid w:val="00504CE0"/>
    <w:rsid w:val="0052231A"/>
    <w:rsid w:val="0053374F"/>
    <w:rsid w:val="0055039A"/>
    <w:rsid w:val="00560F88"/>
    <w:rsid w:val="00577208"/>
    <w:rsid w:val="005803FB"/>
    <w:rsid w:val="00591424"/>
    <w:rsid w:val="005A0106"/>
    <w:rsid w:val="005D5941"/>
    <w:rsid w:val="005E3F51"/>
    <w:rsid w:val="005E58A5"/>
    <w:rsid w:val="005F5C5D"/>
    <w:rsid w:val="00602757"/>
    <w:rsid w:val="00613867"/>
    <w:rsid w:val="00616B53"/>
    <w:rsid w:val="006174C4"/>
    <w:rsid w:val="00634A39"/>
    <w:rsid w:val="00634CC4"/>
    <w:rsid w:val="00640CC1"/>
    <w:rsid w:val="00643719"/>
    <w:rsid w:val="00673420"/>
    <w:rsid w:val="00674ECC"/>
    <w:rsid w:val="00680623"/>
    <w:rsid w:val="006A0005"/>
    <w:rsid w:val="006B371B"/>
    <w:rsid w:val="006B6091"/>
    <w:rsid w:val="006C1BA4"/>
    <w:rsid w:val="006C3797"/>
    <w:rsid w:val="006D7AA8"/>
    <w:rsid w:val="006F402B"/>
    <w:rsid w:val="00703337"/>
    <w:rsid w:val="007061EA"/>
    <w:rsid w:val="00714075"/>
    <w:rsid w:val="007329E6"/>
    <w:rsid w:val="00737D52"/>
    <w:rsid w:val="007404BE"/>
    <w:rsid w:val="00745F6A"/>
    <w:rsid w:val="007475A5"/>
    <w:rsid w:val="00754A04"/>
    <w:rsid w:val="007609ED"/>
    <w:rsid w:val="0077337C"/>
    <w:rsid w:val="007A4012"/>
    <w:rsid w:val="007B3926"/>
    <w:rsid w:val="007C2A4F"/>
    <w:rsid w:val="007C6C3F"/>
    <w:rsid w:val="007F387E"/>
    <w:rsid w:val="0081187A"/>
    <w:rsid w:val="0082796A"/>
    <w:rsid w:val="008364C6"/>
    <w:rsid w:val="00842ED7"/>
    <w:rsid w:val="00852673"/>
    <w:rsid w:val="00876201"/>
    <w:rsid w:val="008771B4"/>
    <w:rsid w:val="008837DE"/>
    <w:rsid w:val="008941C9"/>
    <w:rsid w:val="00895296"/>
    <w:rsid w:val="00895964"/>
    <w:rsid w:val="008A4378"/>
    <w:rsid w:val="008B67AF"/>
    <w:rsid w:val="008D65C2"/>
    <w:rsid w:val="008F0857"/>
    <w:rsid w:val="008F369B"/>
    <w:rsid w:val="009108E4"/>
    <w:rsid w:val="00922E71"/>
    <w:rsid w:val="00951678"/>
    <w:rsid w:val="009724C2"/>
    <w:rsid w:val="00972B59"/>
    <w:rsid w:val="00977806"/>
    <w:rsid w:val="00991557"/>
    <w:rsid w:val="0099199A"/>
    <w:rsid w:val="0099297B"/>
    <w:rsid w:val="009A2B45"/>
    <w:rsid w:val="009B05EF"/>
    <w:rsid w:val="009C03A5"/>
    <w:rsid w:val="009D4D21"/>
    <w:rsid w:val="009E08D8"/>
    <w:rsid w:val="00A10876"/>
    <w:rsid w:val="00A45201"/>
    <w:rsid w:val="00A6684C"/>
    <w:rsid w:val="00A804D7"/>
    <w:rsid w:val="00A920FA"/>
    <w:rsid w:val="00AB4D4D"/>
    <w:rsid w:val="00AC0A07"/>
    <w:rsid w:val="00AC2B84"/>
    <w:rsid w:val="00AD465F"/>
    <w:rsid w:val="00AE1EC7"/>
    <w:rsid w:val="00AE5CAD"/>
    <w:rsid w:val="00AE778C"/>
    <w:rsid w:val="00AF6EC3"/>
    <w:rsid w:val="00B03DFB"/>
    <w:rsid w:val="00B14D80"/>
    <w:rsid w:val="00B174A3"/>
    <w:rsid w:val="00B43542"/>
    <w:rsid w:val="00B53893"/>
    <w:rsid w:val="00B632BD"/>
    <w:rsid w:val="00B833E8"/>
    <w:rsid w:val="00BA3517"/>
    <w:rsid w:val="00BB12D2"/>
    <w:rsid w:val="00BB1875"/>
    <w:rsid w:val="00BB23E6"/>
    <w:rsid w:val="00BB3887"/>
    <w:rsid w:val="00BC4078"/>
    <w:rsid w:val="00BD4F87"/>
    <w:rsid w:val="00BD78D7"/>
    <w:rsid w:val="00BE00B9"/>
    <w:rsid w:val="00BF2D99"/>
    <w:rsid w:val="00C07B9D"/>
    <w:rsid w:val="00C10689"/>
    <w:rsid w:val="00C12AE9"/>
    <w:rsid w:val="00C1307A"/>
    <w:rsid w:val="00C1661A"/>
    <w:rsid w:val="00C171B2"/>
    <w:rsid w:val="00C518E8"/>
    <w:rsid w:val="00C61767"/>
    <w:rsid w:val="00C706EC"/>
    <w:rsid w:val="00C82DDE"/>
    <w:rsid w:val="00CA34E6"/>
    <w:rsid w:val="00CA42A4"/>
    <w:rsid w:val="00CB03B6"/>
    <w:rsid w:val="00CC34B3"/>
    <w:rsid w:val="00D16E6F"/>
    <w:rsid w:val="00D31A71"/>
    <w:rsid w:val="00D53680"/>
    <w:rsid w:val="00D61018"/>
    <w:rsid w:val="00D63966"/>
    <w:rsid w:val="00D7434D"/>
    <w:rsid w:val="00D77E82"/>
    <w:rsid w:val="00DA4E1E"/>
    <w:rsid w:val="00DA6ABC"/>
    <w:rsid w:val="00DC27EB"/>
    <w:rsid w:val="00E24BB8"/>
    <w:rsid w:val="00E376D7"/>
    <w:rsid w:val="00E5068D"/>
    <w:rsid w:val="00E83CB8"/>
    <w:rsid w:val="00EA6276"/>
    <w:rsid w:val="00EA7839"/>
    <w:rsid w:val="00EB19A7"/>
    <w:rsid w:val="00EB2EF2"/>
    <w:rsid w:val="00EB2FB2"/>
    <w:rsid w:val="00EC38DE"/>
    <w:rsid w:val="00EE03DE"/>
    <w:rsid w:val="00EE7161"/>
    <w:rsid w:val="00EF36CD"/>
    <w:rsid w:val="00F0134A"/>
    <w:rsid w:val="00F12F51"/>
    <w:rsid w:val="00F14290"/>
    <w:rsid w:val="00F22DCE"/>
    <w:rsid w:val="00F32325"/>
    <w:rsid w:val="00F32708"/>
    <w:rsid w:val="00F42081"/>
    <w:rsid w:val="00F60D48"/>
    <w:rsid w:val="00F746B6"/>
    <w:rsid w:val="00F7520B"/>
    <w:rsid w:val="00F80C3D"/>
    <w:rsid w:val="00F84E61"/>
    <w:rsid w:val="00F92537"/>
    <w:rsid w:val="00F96C22"/>
    <w:rsid w:val="00FA3B2F"/>
    <w:rsid w:val="00FA7FB8"/>
    <w:rsid w:val="00FB113F"/>
    <w:rsid w:val="00FC037F"/>
    <w:rsid w:val="00FC21B2"/>
    <w:rsid w:val="00FD01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7DE70BB0"/>
  <w15:docId w15:val="{ED193739-B71C-4E92-96D5-8981E750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B9D"/>
    <w:pPr>
      <w:spacing w:after="200"/>
    </w:pPr>
    <w:rPr>
      <w:rFonts w:ascii="Arial" w:eastAsia="Calibri" w:hAnsi="Arial" w:cs="Times New Roman"/>
    </w:rPr>
  </w:style>
  <w:style w:type="character" w:styleId="Hyperlink">
    <w:name w:val="Hyperlink"/>
    <w:basedOn w:val="DefaultParagraphFont"/>
    <w:uiPriority w:val="99"/>
    <w:unhideWhenUsed/>
    <w:rsid w:val="00643719"/>
    <w:rPr>
      <w:color w:val="0000FF" w:themeColor="hyperlink"/>
      <w:u w:val="single"/>
    </w:rPr>
  </w:style>
  <w:style w:type="paragraph" w:styleId="Header">
    <w:name w:val="header"/>
    <w:basedOn w:val="Normal"/>
    <w:link w:val="HeaderChar"/>
    <w:uiPriority w:val="99"/>
    <w:unhideWhenUsed/>
    <w:rsid w:val="009D4D21"/>
    <w:pPr>
      <w:tabs>
        <w:tab w:val="center" w:pos="4513"/>
        <w:tab w:val="right" w:pos="9026"/>
      </w:tabs>
      <w:spacing w:line="240" w:lineRule="auto"/>
    </w:pPr>
  </w:style>
  <w:style w:type="character" w:customStyle="1" w:styleId="HeaderChar">
    <w:name w:val="Header Char"/>
    <w:basedOn w:val="DefaultParagraphFont"/>
    <w:link w:val="Header"/>
    <w:uiPriority w:val="99"/>
    <w:rsid w:val="009D4D21"/>
  </w:style>
  <w:style w:type="paragraph" w:styleId="Footer">
    <w:name w:val="footer"/>
    <w:basedOn w:val="Normal"/>
    <w:link w:val="FooterChar"/>
    <w:uiPriority w:val="99"/>
    <w:unhideWhenUsed/>
    <w:rsid w:val="009D4D21"/>
    <w:pPr>
      <w:tabs>
        <w:tab w:val="center" w:pos="4513"/>
        <w:tab w:val="right" w:pos="9026"/>
      </w:tabs>
      <w:spacing w:line="240" w:lineRule="auto"/>
    </w:pPr>
  </w:style>
  <w:style w:type="character" w:customStyle="1" w:styleId="FooterChar">
    <w:name w:val="Footer Char"/>
    <w:basedOn w:val="DefaultParagraphFont"/>
    <w:link w:val="Footer"/>
    <w:uiPriority w:val="99"/>
    <w:rsid w:val="009D4D21"/>
  </w:style>
  <w:style w:type="character" w:styleId="CommentReference">
    <w:name w:val="annotation reference"/>
    <w:basedOn w:val="DefaultParagraphFont"/>
    <w:uiPriority w:val="99"/>
    <w:semiHidden/>
    <w:unhideWhenUsed/>
    <w:rsid w:val="00852673"/>
    <w:rPr>
      <w:sz w:val="16"/>
      <w:szCs w:val="16"/>
    </w:rPr>
  </w:style>
  <w:style w:type="paragraph" w:styleId="CommentText">
    <w:name w:val="annotation text"/>
    <w:basedOn w:val="Normal"/>
    <w:link w:val="CommentTextChar"/>
    <w:uiPriority w:val="99"/>
    <w:semiHidden/>
    <w:unhideWhenUsed/>
    <w:rsid w:val="00852673"/>
    <w:pPr>
      <w:spacing w:line="240" w:lineRule="auto"/>
    </w:pPr>
    <w:rPr>
      <w:sz w:val="20"/>
      <w:szCs w:val="20"/>
    </w:rPr>
  </w:style>
  <w:style w:type="character" w:customStyle="1" w:styleId="CommentTextChar">
    <w:name w:val="Comment Text Char"/>
    <w:basedOn w:val="DefaultParagraphFont"/>
    <w:link w:val="CommentText"/>
    <w:uiPriority w:val="99"/>
    <w:semiHidden/>
    <w:rsid w:val="00852673"/>
    <w:rPr>
      <w:sz w:val="20"/>
      <w:szCs w:val="20"/>
    </w:rPr>
  </w:style>
  <w:style w:type="paragraph" w:styleId="CommentSubject">
    <w:name w:val="annotation subject"/>
    <w:basedOn w:val="CommentText"/>
    <w:next w:val="CommentText"/>
    <w:link w:val="CommentSubjectChar"/>
    <w:uiPriority w:val="99"/>
    <w:semiHidden/>
    <w:unhideWhenUsed/>
    <w:rsid w:val="00852673"/>
    <w:rPr>
      <w:b/>
      <w:bCs/>
    </w:rPr>
  </w:style>
  <w:style w:type="character" w:customStyle="1" w:styleId="CommentSubjectChar">
    <w:name w:val="Comment Subject Char"/>
    <w:basedOn w:val="CommentTextChar"/>
    <w:link w:val="CommentSubject"/>
    <w:uiPriority w:val="99"/>
    <w:semiHidden/>
    <w:rsid w:val="00852673"/>
    <w:rPr>
      <w:b/>
      <w:bCs/>
      <w:sz w:val="20"/>
      <w:szCs w:val="20"/>
    </w:rPr>
  </w:style>
  <w:style w:type="paragraph" w:styleId="BalloonText">
    <w:name w:val="Balloon Text"/>
    <w:basedOn w:val="Normal"/>
    <w:link w:val="BalloonTextChar"/>
    <w:uiPriority w:val="99"/>
    <w:semiHidden/>
    <w:unhideWhenUsed/>
    <w:rsid w:val="008526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673"/>
    <w:rPr>
      <w:rFonts w:ascii="Segoe UI" w:hAnsi="Segoe UI" w:cs="Segoe UI"/>
      <w:sz w:val="18"/>
      <w:szCs w:val="18"/>
    </w:rPr>
  </w:style>
  <w:style w:type="table" w:styleId="TableGrid">
    <w:name w:val="Table Grid"/>
    <w:basedOn w:val="TableNormal"/>
    <w:uiPriority w:val="59"/>
    <w:rsid w:val="008941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01681E"/>
    <w:pPr>
      <w:numPr>
        <w:numId w:val="19"/>
      </w:numPr>
      <w:contextualSpacing/>
    </w:pPr>
  </w:style>
  <w:style w:type="character" w:customStyle="1" w:styleId="gmail-s1">
    <w:name w:val="gmail-s1"/>
    <w:basedOn w:val="DefaultParagraphFont"/>
    <w:rsid w:val="00FC21B2"/>
  </w:style>
  <w:style w:type="character" w:customStyle="1" w:styleId="gmail-s2">
    <w:name w:val="gmail-s2"/>
    <w:basedOn w:val="DefaultParagraphFont"/>
    <w:rsid w:val="00FC21B2"/>
  </w:style>
  <w:style w:type="paragraph" w:customStyle="1" w:styleId="gmail-p3">
    <w:name w:val="gmail-p3"/>
    <w:basedOn w:val="Normal"/>
    <w:rsid w:val="00EE7161"/>
    <w:pPr>
      <w:spacing w:before="100" w:beforeAutospacing="1" w:after="100" w:afterAutospacing="1" w:line="240" w:lineRule="auto"/>
    </w:pPr>
    <w:rPr>
      <w:rFonts w:ascii="Times New Roman" w:hAnsi="Times New Roman" w:cs="Times New Roman"/>
      <w:sz w:val="24"/>
      <w:szCs w:val="24"/>
      <w:lang w:eastAsia="en-AU"/>
    </w:rPr>
  </w:style>
  <w:style w:type="paragraph" w:customStyle="1" w:styleId="gmail-p1">
    <w:name w:val="gmail-p1"/>
    <w:basedOn w:val="Normal"/>
    <w:rsid w:val="00EE7161"/>
    <w:pPr>
      <w:spacing w:before="100" w:beforeAutospacing="1" w:after="100" w:afterAutospacing="1" w:line="240" w:lineRule="auto"/>
    </w:pPr>
    <w:rPr>
      <w:rFonts w:ascii="Times New Roman" w:hAnsi="Times New Roman" w:cs="Times New Roman"/>
      <w:sz w:val="24"/>
      <w:szCs w:val="24"/>
      <w:lang w:eastAsia="en-AU"/>
    </w:rPr>
  </w:style>
  <w:style w:type="character" w:customStyle="1" w:styleId="GeneralBold">
    <w:name w:val="General_Bold"/>
    <w:uiPriority w:val="1"/>
    <w:qFormat/>
    <w:rsid w:val="00103DE4"/>
    <w:rPr>
      <w:rFonts w:ascii="Times New Roman" w:hAnsi="Times New Roman"/>
      <w:b/>
      <w:sz w:val="21"/>
    </w:rPr>
  </w:style>
  <w:style w:type="character" w:customStyle="1" w:styleId="MemberContinuation">
    <w:name w:val="Member_Continuation"/>
    <w:uiPriority w:val="1"/>
    <w:qFormat/>
    <w:rsid w:val="00103DE4"/>
    <w:rPr>
      <w:rFonts w:ascii="Times New Roman" w:hAnsi="Times New Roman"/>
      <w:b/>
      <w:i w:val="0"/>
      <w:sz w:val="21"/>
    </w:rPr>
  </w:style>
  <w:style w:type="character" w:customStyle="1" w:styleId="WitnessName">
    <w:name w:val="Witness Name"/>
    <w:basedOn w:val="DefaultParagraphFont"/>
    <w:uiPriority w:val="1"/>
    <w:qFormat/>
    <w:rsid w:val="00103DE4"/>
    <w:rPr>
      <w:rFonts w:ascii="Times New Roman" w:hAnsi="Times New Roman"/>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8463">
      <w:bodyDiv w:val="1"/>
      <w:marLeft w:val="0"/>
      <w:marRight w:val="0"/>
      <w:marTop w:val="0"/>
      <w:marBottom w:val="0"/>
      <w:divBdr>
        <w:top w:val="none" w:sz="0" w:space="0" w:color="auto"/>
        <w:left w:val="none" w:sz="0" w:space="0" w:color="auto"/>
        <w:bottom w:val="none" w:sz="0" w:space="0" w:color="auto"/>
        <w:right w:val="none" w:sz="0" w:space="0" w:color="auto"/>
      </w:divBdr>
      <w:divsChild>
        <w:div w:id="395250154">
          <w:marLeft w:val="547"/>
          <w:marRight w:val="0"/>
          <w:marTop w:val="67"/>
          <w:marBottom w:val="120"/>
          <w:divBdr>
            <w:top w:val="none" w:sz="0" w:space="0" w:color="auto"/>
            <w:left w:val="none" w:sz="0" w:space="0" w:color="auto"/>
            <w:bottom w:val="none" w:sz="0" w:space="0" w:color="auto"/>
            <w:right w:val="none" w:sz="0" w:space="0" w:color="auto"/>
          </w:divBdr>
        </w:div>
        <w:div w:id="2137217204">
          <w:marLeft w:val="1166"/>
          <w:marRight w:val="0"/>
          <w:marTop w:val="67"/>
          <w:marBottom w:val="120"/>
          <w:divBdr>
            <w:top w:val="none" w:sz="0" w:space="0" w:color="auto"/>
            <w:left w:val="none" w:sz="0" w:space="0" w:color="auto"/>
            <w:bottom w:val="none" w:sz="0" w:space="0" w:color="auto"/>
            <w:right w:val="none" w:sz="0" w:space="0" w:color="auto"/>
          </w:divBdr>
        </w:div>
        <w:div w:id="1169835213">
          <w:marLeft w:val="1166"/>
          <w:marRight w:val="0"/>
          <w:marTop w:val="67"/>
          <w:marBottom w:val="120"/>
          <w:divBdr>
            <w:top w:val="none" w:sz="0" w:space="0" w:color="auto"/>
            <w:left w:val="none" w:sz="0" w:space="0" w:color="auto"/>
            <w:bottom w:val="none" w:sz="0" w:space="0" w:color="auto"/>
            <w:right w:val="none" w:sz="0" w:space="0" w:color="auto"/>
          </w:divBdr>
        </w:div>
        <w:div w:id="818303398">
          <w:marLeft w:val="547"/>
          <w:marRight w:val="0"/>
          <w:marTop w:val="67"/>
          <w:marBottom w:val="120"/>
          <w:divBdr>
            <w:top w:val="none" w:sz="0" w:space="0" w:color="auto"/>
            <w:left w:val="none" w:sz="0" w:space="0" w:color="auto"/>
            <w:bottom w:val="none" w:sz="0" w:space="0" w:color="auto"/>
            <w:right w:val="none" w:sz="0" w:space="0" w:color="auto"/>
          </w:divBdr>
        </w:div>
        <w:div w:id="1769235030">
          <w:marLeft w:val="547"/>
          <w:marRight w:val="0"/>
          <w:marTop w:val="67"/>
          <w:marBottom w:val="120"/>
          <w:divBdr>
            <w:top w:val="none" w:sz="0" w:space="0" w:color="auto"/>
            <w:left w:val="none" w:sz="0" w:space="0" w:color="auto"/>
            <w:bottom w:val="none" w:sz="0" w:space="0" w:color="auto"/>
            <w:right w:val="none" w:sz="0" w:space="0" w:color="auto"/>
          </w:divBdr>
        </w:div>
        <w:div w:id="1312755807">
          <w:marLeft w:val="547"/>
          <w:marRight w:val="0"/>
          <w:marTop w:val="67"/>
          <w:marBottom w:val="120"/>
          <w:divBdr>
            <w:top w:val="none" w:sz="0" w:space="0" w:color="auto"/>
            <w:left w:val="none" w:sz="0" w:space="0" w:color="auto"/>
            <w:bottom w:val="none" w:sz="0" w:space="0" w:color="auto"/>
            <w:right w:val="none" w:sz="0" w:space="0" w:color="auto"/>
          </w:divBdr>
        </w:div>
        <w:div w:id="561524296">
          <w:marLeft w:val="547"/>
          <w:marRight w:val="0"/>
          <w:marTop w:val="67"/>
          <w:marBottom w:val="120"/>
          <w:divBdr>
            <w:top w:val="none" w:sz="0" w:space="0" w:color="auto"/>
            <w:left w:val="none" w:sz="0" w:space="0" w:color="auto"/>
            <w:bottom w:val="none" w:sz="0" w:space="0" w:color="auto"/>
            <w:right w:val="none" w:sz="0" w:space="0" w:color="auto"/>
          </w:divBdr>
        </w:div>
      </w:divsChild>
    </w:div>
    <w:div w:id="344594008">
      <w:bodyDiv w:val="1"/>
      <w:marLeft w:val="0"/>
      <w:marRight w:val="0"/>
      <w:marTop w:val="0"/>
      <w:marBottom w:val="0"/>
      <w:divBdr>
        <w:top w:val="none" w:sz="0" w:space="0" w:color="auto"/>
        <w:left w:val="none" w:sz="0" w:space="0" w:color="auto"/>
        <w:bottom w:val="none" w:sz="0" w:space="0" w:color="auto"/>
        <w:right w:val="none" w:sz="0" w:space="0" w:color="auto"/>
      </w:divBdr>
      <w:divsChild>
        <w:div w:id="2133740033">
          <w:marLeft w:val="562"/>
          <w:marRight w:val="0"/>
          <w:marTop w:val="82"/>
          <w:marBottom w:val="120"/>
          <w:divBdr>
            <w:top w:val="none" w:sz="0" w:space="0" w:color="auto"/>
            <w:left w:val="none" w:sz="0" w:space="0" w:color="auto"/>
            <w:bottom w:val="none" w:sz="0" w:space="0" w:color="auto"/>
            <w:right w:val="none" w:sz="0" w:space="0" w:color="auto"/>
          </w:divBdr>
        </w:div>
        <w:div w:id="71323011">
          <w:marLeft w:val="1282"/>
          <w:marRight w:val="0"/>
          <w:marTop w:val="72"/>
          <w:marBottom w:val="120"/>
          <w:divBdr>
            <w:top w:val="none" w:sz="0" w:space="0" w:color="auto"/>
            <w:left w:val="none" w:sz="0" w:space="0" w:color="auto"/>
            <w:bottom w:val="none" w:sz="0" w:space="0" w:color="auto"/>
            <w:right w:val="none" w:sz="0" w:space="0" w:color="auto"/>
          </w:divBdr>
        </w:div>
        <w:div w:id="1806777432">
          <w:marLeft w:val="1282"/>
          <w:marRight w:val="0"/>
          <w:marTop w:val="72"/>
          <w:marBottom w:val="120"/>
          <w:divBdr>
            <w:top w:val="none" w:sz="0" w:space="0" w:color="auto"/>
            <w:left w:val="none" w:sz="0" w:space="0" w:color="auto"/>
            <w:bottom w:val="none" w:sz="0" w:space="0" w:color="auto"/>
            <w:right w:val="none" w:sz="0" w:space="0" w:color="auto"/>
          </w:divBdr>
        </w:div>
        <w:div w:id="789319205">
          <w:marLeft w:val="1282"/>
          <w:marRight w:val="0"/>
          <w:marTop w:val="72"/>
          <w:marBottom w:val="120"/>
          <w:divBdr>
            <w:top w:val="none" w:sz="0" w:space="0" w:color="auto"/>
            <w:left w:val="none" w:sz="0" w:space="0" w:color="auto"/>
            <w:bottom w:val="none" w:sz="0" w:space="0" w:color="auto"/>
            <w:right w:val="none" w:sz="0" w:space="0" w:color="auto"/>
          </w:divBdr>
        </w:div>
        <w:div w:id="841824354">
          <w:marLeft w:val="1282"/>
          <w:marRight w:val="0"/>
          <w:marTop w:val="72"/>
          <w:marBottom w:val="120"/>
          <w:divBdr>
            <w:top w:val="none" w:sz="0" w:space="0" w:color="auto"/>
            <w:left w:val="none" w:sz="0" w:space="0" w:color="auto"/>
            <w:bottom w:val="none" w:sz="0" w:space="0" w:color="auto"/>
            <w:right w:val="none" w:sz="0" w:space="0" w:color="auto"/>
          </w:divBdr>
        </w:div>
        <w:div w:id="1482192293">
          <w:marLeft w:val="1282"/>
          <w:marRight w:val="0"/>
          <w:marTop w:val="72"/>
          <w:marBottom w:val="120"/>
          <w:divBdr>
            <w:top w:val="none" w:sz="0" w:space="0" w:color="auto"/>
            <w:left w:val="none" w:sz="0" w:space="0" w:color="auto"/>
            <w:bottom w:val="none" w:sz="0" w:space="0" w:color="auto"/>
            <w:right w:val="none" w:sz="0" w:space="0" w:color="auto"/>
          </w:divBdr>
        </w:div>
        <w:div w:id="1852261415">
          <w:marLeft w:val="1282"/>
          <w:marRight w:val="0"/>
          <w:marTop w:val="72"/>
          <w:marBottom w:val="120"/>
          <w:divBdr>
            <w:top w:val="none" w:sz="0" w:space="0" w:color="auto"/>
            <w:left w:val="none" w:sz="0" w:space="0" w:color="auto"/>
            <w:bottom w:val="none" w:sz="0" w:space="0" w:color="auto"/>
            <w:right w:val="none" w:sz="0" w:space="0" w:color="auto"/>
          </w:divBdr>
        </w:div>
        <w:div w:id="2137487429">
          <w:marLeft w:val="1282"/>
          <w:marRight w:val="0"/>
          <w:marTop w:val="72"/>
          <w:marBottom w:val="120"/>
          <w:divBdr>
            <w:top w:val="none" w:sz="0" w:space="0" w:color="auto"/>
            <w:left w:val="none" w:sz="0" w:space="0" w:color="auto"/>
            <w:bottom w:val="none" w:sz="0" w:space="0" w:color="auto"/>
            <w:right w:val="none" w:sz="0" w:space="0" w:color="auto"/>
          </w:divBdr>
        </w:div>
        <w:div w:id="649479553">
          <w:marLeft w:val="1282"/>
          <w:marRight w:val="0"/>
          <w:marTop w:val="72"/>
          <w:marBottom w:val="120"/>
          <w:divBdr>
            <w:top w:val="none" w:sz="0" w:space="0" w:color="auto"/>
            <w:left w:val="none" w:sz="0" w:space="0" w:color="auto"/>
            <w:bottom w:val="none" w:sz="0" w:space="0" w:color="auto"/>
            <w:right w:val="none" w:sz="0" w:space="0" w:color="auto"/>
          </w:divBdr>
        </w:div>
      </w:divsChild>
    </w:div>
    <w:div w:id="372274316">
      <w:bodyDiv w:val="1"/>
      <w:marLeft w:val="0"/>
      <w:marRight w:val="0"/>
      <w:marTop w:val="0"/>
      <w:marBottom w:val="0"/>
      <w:divBdr>
        <w:top w:val="none" w:sz="0" w:space="0" w:color="auto"/>
        <w:left w:val="none" w:sz="0" w:space="0" w:color="auto"/>
        <w:bottom w:val="none" w:sz="0" w:space="0" w:color="auto"/>
        <w:right w:val="none" w:sz="0" w:space="0" w:color="auto"/>
      </w:divBdr>
    </w:div>
    <w:div w:id="467282132">
      <w:bodyDiv w:val="1"/>
      <w:marLeft w:val="0"/>
      <w:marRight w:val="0"/>
      <w:marTop w:val="0"/>
      <w:marBottom w:val="0"/>
      <w:divBdr>
        <w:top w:val="none" w:sz="0" w:space="0" w:color="auto"/>
        <w:left w:val="none" w:sz="0" w:space="0" w:color="auto"/>
        <w:bottom w:val="none" w:sz="0" w:space="0" w:color="auto"/>
        <w:right w:val="none" w:sz="0" w:space="0" w:color="auto"/>
      </w:divBdr>
      <w:divsChild>
        <w:div w:id="707025278">
          <w:marLeft w:val="547"/>
          <w:marRight w:val="0"/>
          <w:marTop w:val="67"/>
          <w:marBottom w:val="120"/>
          <w:divBdr>
            <w:top w:val="none" w:sz="0" w:space="0" w:color="auto"/>
            <w:left w:val="none" w:sz="0" w:space="0" w:color="auto"/>
            <w:bottom w:val="none" w:sz="0" w:space="0" w:color="auto"/>
            <w:right w:val="none" w:sz="0" w:space="0" w:color="auto"/>
          </w:divBdr>
        </w:div>
        <w:div w:id="1775664235">
          <w:marLeft w:val="547"/>
          <w:marRight w:val="0"/>
          <w:marTop w:val="67"/>
          <w:marBottom w:val="120"/>
          <w:divBdr>
            <w:top w:val="none" w:sz="0" w:space="0" w:color="auto"/>
            <w:left w:val="none" w:sz="0" w:space="0" w:color="auto"/>
            <w:bottom w:val="none" w:sz="0" w:space="0" w:color="auto"/>
            <w:right w:val="none" w:sz="0" w:space="0" w:color="auto"/>
          </w:divBdr>
        </w:div>
        <w:div w:id="1666781772">
          <w:marLeft w:val="547"/>
          <w:marRight w:val="0"/>
          <w:marTop w:val="67"/>
          <w:marBottom w:val="120"/>
          <w:divBdr>
            <w:top w:val="none" w:sz="0" w:space="0" w:color="auto"/>
            <w:left w:val="none" w:sz="0" w:space="0" w:color="auto"/>
            <w:bottom w:val="none" w:sz="0" w:space="0" w:color="auto"/>
            <w:right w:val="none" w:sz="0" w:space="0" w:color="auto"/>
          </w:divBdr>
        </w:div>
        <w:div w:id="54285271">
          <w:marLeft w:val="547"/>
          <w:marRight w:val="0"/>
          <w:marTop w:val="67"/>
          <w:marBottom w:val="120"/>
          <w:divBdr>
            <w:top w:val="none" w:sz="0" w:space="0" w:color="auto"/>
            <w:left w:val="none" w:sz="0" w:space="0" w:color="auto"/>
            <w:bottom w:val="none" w:sz="0" w:space="0" w:color="auto"/>
            <w:right w:val="none" w:sz="0" w:space="0" w:color="auto"/>
          </w:divBdr>
        </w:div>
        <w:div w:id="1376275900">
          <w:marLeft w:val="547"/>
          <w:marRight w:val="0"/>
          <w:marTop w:val="67"/>
          <w:marBottom w:val="120"/>
          <w:divBdr>
            <w:top w:val="none" w:sz="0" w:space="0" w:color="auto"/>
            <w:left w:val="none" w:sz="0" w:space="0" w:color="auto"/>
            <w:bottom w:val="none" w:sz="0" w:space="0" w:color="auto"/>
            <w:right w:val="none" w:sz="0" w:space="0" w:color="auto"/>
          </w:divBdr>
        </w:div>
        <w:div w:id="1629314646">
          <w:marLeft w:val="547"/>
          <w:marRight w:val="0"/>
          <w:marTop w:val="67"/>
          <w:marBottom w:val="120"/>
          <w:divBdr>
            <w:top w:val="none" w:sz="0" w:space="0" w:color="auto"/>
            <w:left w:val="none" w:sz="0" w:space="0" w:color="auto"/>
            <w:bottom w:val="none" w:sz="0" w:space="0" w:color="auto"/>
            <w:right w:val="none" w:sz="0" w:space="0" w:color="auto"/>
          </w:divBdr>
        </w:div>
      </w:divsChild>
    </w:div>
    <w:div w:id="657267539">
      <w:bodyDiv w:val="1"/>
      <w:marLeft w:val="0"/>
      <w:marRight w:val="0"/>
      <w:marTop w:val="0"/>
      <w:marBottom w:val="0"/>
      <w:divBdr>
        <w:top w:val="none" w:sz="0" w:space="0" w:color="auto"/>
        <w:left w:val="none" w:sz="0" w:space="0" w:color="auto"/>
        <w:bottom w:val="none" w:sz="0" w:space="0" w:color="auto"/>
        <w:right w:val="none" w:sz="0" w:space="0" w:color="auto"/>
      </w:divBdr>
    </w:div>
    <w:div w:id="1296982677">
      <w:bodyDiv w:val="1"/>
      <w:marLeft w:val="0"/>
      <w:marRight w:val="0"/>
      <w:marTop w:val="0"/>
      <w:marBottom w:val="0"/>
      <w:divBdr>
        <w:top w:val="none" w:sz="0" w:space="0" w:color="auto"/>
        <w:left w:val="none" w:sz="0" w:space="0" w:color="auto"/>
        <w:bottom w:val="none" w:sz="0" w:space="0" w:color="auto"/>
        <w:right w:val="none" w:sz="0" w:space="0" w:color="auto"/>
      </w:divBdr>
    </w:div>
    <w:div w:id="1318146974">
      <w:bodyDiv w:val="1"/>
      <w:marLeft w:val="0"/>
      <w:marRight w:val="0"/>
      <w:marTop w:val="0"/>
      <w:marBottom w:val="0"/>
      <w:divBdr>
        <w:top w:val="none" w:sz="0" w:space="0" w:color="auto"/>
        <w:left w:val="none" w:sz="0" w:space="0" w:color="auto"/>
        <w:bottom w:val="none" w:sz="0" w:space="0" w:color="auto"/>
        <w:right w:val="none" w:sz="0" w:space="0" w:color="auto"/>
      </w:divBdr>
    </w:div>
    <w:div w:id="1457523884">
      <w:bodyDiv w:val="1"/>
      <w:marLeft w:val="0"/>
      <w:marRight w:val="0"/>
      <w:marTop w:val="0"/>
      <w:marBottom w:val="0"/>
      <w:divBdr>
        <w:top w:val="none" w:sz="0" w:space="0" w:color="auto"/>
        <w:left w:val="none" w:sz="0" w:space="0" w:color="auto"/>
        <w:bottom w:val="none" w:sz="0" w:space="0" w:color="auto"/>
        <w:right w:val="none" w:sz="0" w:space="0" w:color="auto"/>
      </w:divBdr>
      <w:divsChild>
        <w:div w:id="1407998702">
          <w:marLeft w:val="547"/>
          <w:marRight w:val="0"/>
          <w:marTop w:val="72"/>
          <w:marBottom w:val="120"/>
          <w:divBdr>
            <w:top w:val="none" w:sz="0" w:space="0" w:color="auto"/>
            <w:left w:val="none" w:sz="0" w:space="0" w:color="auto"/>
            <w:bottom w:val="none" w:sz="0" w:space="0" w:color="auto"/>
            <w:right w:val="none" w:sz="0" w:space="0" w:color="auto"/>
          </w:divBdr>
        </w:div>
        <w:div w:id="1906795792">
          <w:marLeft w:val="547"/>
          <w:marRight w:val="0"/>
          <w:marTop w:val="72"/>
          <w:marBottom w:val="120"/>
          <w:divBdr>
            <w:top w:val="none" w:sz="0" w:space="0" w:color="auto"/>
            <w:left w:val="none" w:sz="0" w:space="0" w:color="auto"/>
            <w:bottom w:val="none" w:sz="0" w:space="0" w:color="auto"/>
            <w:right w:val="none" w:sz="0" w:space="0" w:color="auto"/>
          </w:divBdr>
        </w:div>
        <w:div w:id="1562984002">
          <w:marLeft w:val="547"/>
          <w:marRight w:val="0"/>
          <w:marTop w:val="72"/>
          <w:marBottom w:val="120"/>
          <w:divBdr>
            <w:top w:val="none" w:sz="0" w:space="0" w:color="auto"/>
            <w:left w:val="none" w:sz="0" w:space="0" w:color="auto"/>
            <w:bottom w:val="none" w:sz="0" w:space="0" w:color="auto"/>
            <w:right w:val="none" w:sz="0" w:space="0" w:color="auto"/>
          </w:divBdr>
        </w:div>
        <w:div w:id="1302885963">
          <w:marLeft w:val="547"/>
          <w:marRight w:val="0"/>
          <w:marTop w:val="72"/>
          <w:marBottom w:val="120"/>
          <w:divBdr>
            <w:top w:val="none" w:sz="0" w:space="0" w:color="auto"/>
            <w:left w:val="none" w:sz="0" w:space="0" w:color="auto"/>
            <w:bottom w:val="none" w:sz="0" w:space="0" w:color="auto"/>
            <w:right w:val="none" w:sz="0" w:space="0" w:color="auto"/>
          </w:divBdr>
        </w:div>
        <w:div w:id="293679186">
          <w:marLeft w:val="547"/>
          <w:marRight w:val="0"/>
          <w:marTop w:val="72"/>
          <w:marBottom w:val="120"/>
          <w:divBdr>
            <w:top w:val="none" w:sz="0" w:space="0" w:color="auto"/>
            <w:left w:val="none" w:sz="0" w:space="0" w:color="auto"/>
            <w:bottom w:val="none" w:sz="0" w:space="0" w:color="auto"/>
            <w:right w:val="none" w:sz="0" w:space="0" w:color="auto"/>
          </w:divBdr>
        </w:div>
        <w:div w:id="1419912325">
          <w:marLeft w:val="547"/>
          <w:marRight w:val="0"/>
          <w:marTop w:val="72"/>
          <w:marBottom w:val="120"/>
          <w:divBdr>
            <w:top w:val="none" w:sz="0" w:space="0" w:color="auto"/>
            <w:left w:val="none" w:sz="0" w:space="0" w:color="auto"/>
            <w:bottom w:val="none" w:sz="0" w:space="0" w:color="auto"/>
            <w:right w:val="none" w:sz="0" w:space="0" w:color="auto"/>
          </w:divBdr>
        </w:div>
        <w:div w:id="424300862">
          <w:marLeft w:val="547"/>
          <w:marRight w:val="0"/>
          <w:marTop w:val="77"/>
          <w:marBottom w:val="120"/>
          <w:divBdr>
            <w:top w:val="none" w:sz="0" w:space="0" w:color="auto"/>
            <w:left w:val="none" w:sz="0" w:space="0" w:color="auto"/>
            <w:bottom w:val="none" w:sz="0" w:space="0" w:color="auto"/>
            <w:right w:val="none" w:sz="0" w:space="0" w:color="auto"/>
          </w:divBdr>
        </w:div>
      </w:divsChild>
    </w:div>
    <w:div w:id="1558853027">
      <w:bodyDiv w:val="1"/>
      <w:marLeft w:val="0"/>
      <w:marRight w:val="0"/>
      <w:marTop w:val="0"/>
      <w:marBottom w:val="0"/>
      <w:divBdr>
        <w:top w:val="none" w:sz="0" w:space="0" w:color="auto"/>
        <w:left w:val="none" w:sz="0" w:space="0" w:color="auto"/>
        <w:bottom w:val="none" w:sz="0" w:space="0" w:color="auto"/>
        <w:right w:val="none" w:sz="0" w:space="0" w:color="auto"/>
      </w:divBdr>
    </w:div>
    <w:div w:id="1569026732">
      <w:bodyDiv w:val="1"/>
      <w:marLeft w:val="0"/>
      <w:marRight w:val="0"/>
      <w:marTop w:val="0"/>
      <w:marBottom w:val="0"/>
      <w:divBdr>
        <w:top w:val="none" w:sz="0" w:space="0" w:color="auto"/>
        <w:left w:val="none" w:sz="0" w:space="0" w:color="auto"/>
        <w:bottom w:val="none" w:sz="0" w:space="0" w:color="auto"/>
        <w:right w:val="none" w:sz="0" w:space="0" w:color="auto"/>
      </w:divBdr>
      <w:divsChild>
        <w:div w:id="1443573371">
          <w:marLeft w:val="547"/>
          <w:marRight w:val="0"/>
          <w:marTop w:val="67"/>
          <w:marBottom w:val="0"/>
          <w:divBdr>
            <w:top w:val="none" w:sz="0" w:space="0" w:color="auto"/>
            <w:left w:val="none" w:sz="0" w:space="0" w:color="auto"/>
            <w:bottom w:val="none" w:sz="0" w:space="0" w:color="auto"/>
            <w:right w:val="none" w:sz="0" w:space="0" w:color="auto"/>
          </w:divBdr>
        </w:div>
        <w:div w:id="1225525713">
          <w:marLeft w:val="547"/>
          <w:marRight w:val="0"/>
          <w:marTop w:val="67"/>
          <w:marBottom w:val="0"/>
          <w:divBdr>
            <w:top w:val="none" w:sz="0" w:space="0" w:color="auto"/>
            <w:left w:val="none" w:sz="0" w:space="0" w:color="auto"/>
            <w:bottom w:val="none" w:sz="0" w:space="0" w:color="auto"/>
            <w:right w:val="none" w:sz="0" w:space="0" w:color="auto"/>
          </w:divBdr>
        </w:div>
        <w:div w:id="780301409">
          <w:marLeft w:val="547"/>
          <w:marRight w:val="0"/>
          <w:marTop w:val="67"/>
          <w:marBottom w:val="0"/>
          <w:divBdr>
            <w:top w:val="none" w:sz="0" w:space="0" w:color="auto"/>
            <w:left w:val="none" w:sz="0" w:space="0" w:color="auto"/>
            <w:bottom w:val="none" w:sz="0" w:space="0" w:color="auto"/>
            <w:right w:val="none" w:sz="0" w:space="0" w:color="auto"/>
          </w:divBdr>
        </w:div>
        <w:div w:id="1019966236">
          <w:marLeft w:val="547"/>
          <w:marRight w:val="0"/>
          <w:marTop w:val="67"/>
          <w:marBottom w:val="0"/>
          <w:divBdr>
            <w:top w:val="none" w:sz="0" w:space="0" w:color="auto"/>
            <w:left w:val="none" w:sz="0" w:space="0" w:color="auto"/>
            <w:bottom w:val="none" w:sz="0" w:space="0" w:color="auto"/>
            <w:right w:val="none" w:sz="0" w:space="0" w:color="auto"/>
          </w:divBdr>
        </w:div>
        <w:div w:id="783773421">
          <w:marLeft w:val="547"/>
          <w:marRight w:val="0"/>
          <w:marTop w:val="67"/>
          <w:marBottom w:val="120"/>
          <w:divBdr>
            <w:top w:val="none" w:sz="0" w:space="0" w:color="auto"/>
            <w:left w:val="none" w:sz="0" w:space="0" w:color="auto"/>
            <w:bottom w:val="none" w:sz="0" w:space="0" w:color="auto"/>
            <w:right w:val="none" w:sz="0" w:space="0" w:color="auto"/>
          </w:divBdr>
        </w:div>
        <w:div w:id="1015418619">
          <w:marLeft w:val="547"/>
          <w:marRight w:val="0"/>
          <w:marTop w:val="67"/>
          <w:marBottom w:val="0"/>
          <w:divBdr>
            <w:top w:val="none" w:sz="0" w:space="0" w:color="auto"/>
            <w:left w:val="none" w:sz="0" w:space="0" w:color="auto"/>
            <w:bottom w:val="none" w:sz="0" w:space="0" w:color="auto"/>
            <w:right w:val="none" w:sz="0" w:space="0" w:color="auto"/>
          </w:divBdr>
        </w:div>
        <w:div w:id="1097823089">
          <w:marLeft w:val="547"/>
          <w:marRight w:val="0"/>
          <w:marTop w:val="67"/>
          <w:marBottom w:val="0"/>
          <w:divBdr>
            <w:top w:val="none" w:sz="0" w:space="0" w:color="auto"/>
            <w:left w:val="none" w:sz="0" w:space="0" w:color="auto"/>
            <w:bottom w:val="none" w:sz="0" w:space="0" w:color="auto"/>
            <w:right w:val="none" w:sz="0" w:space="0" w:color="auto"/>
          </w:divBdr>
        </w:div>
      </w:divsChild>
    </w:div>
    <w:div w:id="1921792535">
      <w:bodyDiv w:val="1"/>
      <w:marLeft w:val="0"/>
      <w:marRight w:val="0"/>
      <w:marTop w:val="0"/>
      <w:marBottom w:val="0"/>
      <w:divBdr>
        <w:top w:val="none" w:sz="0" w:space="0" w:color="auto"/>
        <w:left w:val="none" w:sz="0" w:space="0" w:color="auto"/>
        <w:bottom w:val="none" w:sz="0" w:space="0" w:color="auto"/>
        <w:right w:val="none" w:sz="0" w:space="0" w:color="auto"/>
      </w:divBdr>
    </w:div>
    <w:div w:id="198050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19BFE-F168-4D9C-88FD-FA12AB76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3C07581.dotm</Template>
  <TotalTime>1</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Opening Statement to Senate Estimates Environment and Communications Legislation Committee – 8 April 2019</vt:lpstr>
    </vt:vector>
  </TitlesOfParts>
  <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Statement to Senate Estimates Environment and Communications Legislation Committee – 8 April 2019</dc:title>
  <dc:creator>Andrew Dyer – National Wind Farm Commissioner</dc:creator>
  <cp:lastModifiedBy>Nguyen, Lien</cp:lastModifiedBy>
  <cp:revision>3</cp:revision>
  <dcterms:created xsi:type="dcterms:W3CDTF">2019-05-28T05:31:00Z</dcterms:created>
  <dcterms:modified xsi:type="dcterms:W3CDTF">2019-05-28T05:50:00Z</dcterms:modified>
</cp:coreProperties>
</file>