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118C4" w14:textId="2E9F3F08" w:rsidR="00C94D79" w:rsidRPr="00C94D79" w:rsidRDefault="00517791" w:rsidP="00C94D79">
      <w:pPr>
        <w:pStyle w:val="Heading1"/>
        <w:jc w:val="center"/>
        <w:rPr>
          <w:sz w:val="40"/>
          <w:szCs w:val="40"/>
        </w:rPr>
      </w:pPr>
      <w:r w:rsidRPr="002C2A12">
        <w:rPr>
          <w:sz w:val="40"/>
          <w:szCs w:val="40"/>
        </w:rPr>
        <w:t xml:space="preserve">Position </w:t>
      </w:r>
      <w:r w:rsidR="00A97585">
        <w:rPr>
          <w:sz w:val="40"/>
          <w:szCs w:val="40"/>
        </w:rPr>
        <w:t>S</w:t>
      </w:r>
      <w:r w:rsidRPr="002C2A12">
        <w:rPr>
          <w:sz w:val="40"/>
          <w:szCs w:val="40"/>
        </w:rPr>
        <w:t>tatement</w:t>
      </w:r>
    </w:p>
    <w:p w14:paraId="53871767" w14:textId="2E41F212" w:rsidR="00B82095" w:rsidRPr="00713363" w:rsidRDefault="00DB560E" w:rsidP="00C94D79">
      <w:pPr>
        <w:pStyle w:val="Heading1"/>
        <w:jc w:val="center"/>
        <w:rPr>
          <w:sz w:val="40"/>
          <w:szCs w:val="40"/>
        </w:rPr>
      </w:pPr>
      <w:r w:rsidRPr="000D2AA4">
        <w:rPr>
          <w:sz w:val="40"/>
          <w:szCs w:val="40"/>
        </w:rPr>
        <w:t>Public Liability Insurance for Landholders</w:t>
      </w:r>
      <w:r w:rsidR="69CBDA9E" w:rsidRPr="0E586599">
        <w:rPr>
          <w:sz w:val="40"/>
          <w:szCs w:val="40"/>
        </w:rPr>
        <w:t xml:space="preserve"> </w:t>
      </w:r>
      <w:r w:rsidR="0087542F">
        <w:rPr>
          <w:sz w:val="40"/>
          <w:szCs w:val="40"/>
        </w:rPr>
        <w:t>N</w:t>
      </w:r>
      <w:r w:rsidR="69CBDA9E" w:rsidRPr="0E586599">
        <w:rPr>
          <w:sz w:val="40"/>
          <w:szCs w:val="40"/>
        </w:rPr>
        <w:t xml:space="preserve">eighbouring </w:t>
      </w:r>
      <w:r w:rsidR="0087542F">
        <w:rPr>
          <w:sz w:val="40"/>
          <w:szCs w:val="40"/>
        </w:rPr>
        <w:t>E</w:t>
      </w:r>
      <w:r w:rsidR="69CBDA9E" w:rsidRPr="0E586599">
        <w:rPr>
          <w:sz w:val="40"/>
          <w:szCs w:val="40"/>
        </w:rPr>
        <w:t xml:space="preserve">nergy </w:t>
      </w:r>
      <w:r w:rsidR="0087542F">
        <w:rPr>
          <w:sz w:val="40"/>
          <w:szCs w:val="40"/>
        </w:rPr>
        <w:t>I</w:t>
      </w:r>
      <w:r w:rsidR="69CBDA9E" w:rsidRPr="0E586599">
        <w:rPr>
          <w:sz w:val="40"/>
          <w:szCs w:val="40"/>
        </w:rPr>
        <w:t>nfrastructure</w:t>
      </w:r>
    </w:p>
    <w:p w14:paraId="0BBD9990" w14:textId="77777777" w:rsidR="00C94D79" w:rsidRDefault="00C94D79" w:rsidP="6EF27244">
      <w:pPr>
        <w:jc w:val="right"/>
        <w:rPr>
          <w:rFonts w:ascii="Calibri" w:eastAsia="Times New Roman" w:hAnsi="Calibri" w:cs="Times New Roman"/>
          <w:b/>
          <w:bCs/>
          <w:sz w:val="24"/>
          <w:szCs w:val="24"/>
        </w:rPr>
      </w:pPr>
    </w:p>
    <w:p w14:paraId="53AB46ED" w14:textId="50627C43" w:rsidR="00C94D79" w:rsidRPr="000F6A99" w:rsidRDefault="00143D99" w:rsidP="000F6A99">
      <w:pPr>
        <w:jc w:val="right"/>
        <w:rPr>
          <w:rFonts w:ascii="Calibri" w:eastAsia="Times New Roman" w:hAnsi="Calibri" w:cs="Times New Roman"/>
          <w:b/>
          <w:bCs/>
          <w:sz w:val="24"/>
          <w:szCs w:val="24"/>
        </w:rPr>
      </w:pPr>
      <w:r>
        <w:rPr>
          <w:rFonts w:ascii="Calibri" w:eastAsia="Times New Roman" w:hAnsi="Calibri" w:cs="Times New Roman"/>
          <w:b/>
          <w:bCs/>
          <w:sz w:val="24"/>
          <w:szCs w:val="24"/>
        </w:rPr>
        <w:t>December</w:t>
      </w:r>
      <w:r w:rsidR="00713363" w:rsidRPr="00103D25">
        <w:rPr>
          <w:rFonts w:ascii="Calibri" w:eastAsia="Times New Roman" w:hAnsi="Calibri" w:cs="Times New Roman"/>
          <w:b/>
          <w:bCs/>
          <w:sz w:val="24"/>
          <w:szCs w:val="24"/>
        </w:rPr>
        <w:t xml:space="preserve"> 2025</w:t>
      </w:r>
    </w:p>
    <w:p w14:paraId="446A4581" w14:textId="7878F711" w:rsidR="003D041C" w:rsidRDefault="052A3C9B" w:rsidP="6EF27244">
      <w:pPr>
        <w:rPr>
          <w:rFonts w:asciiTheme="minorHAnsi" w:eastAsiaTheme="minorEastAsia" w:hAnsiTheme="minorHAnsi"/>
          <w:b/>
          <w:bCs/>
          <w:color w:val="8A290A"/>
          <w:sz w:val="28"/>
          <w:szCs w:val="28"/>
          <w:lang w:eastAsia="ja-JP"/>
        </w:rPr>
      </w:pPr>
      <w:r w:rsidRPr="6EF27244">
        <w:rPr>
          <w:rFonts w:asciiTheme="minorHAnsi" w:eastAsiaTheme="minorEastAsia" w:hAnsiTheme="minorHAnsi"/>
          <w:b/>
          <w:bCs/>
          <w:color w:val="8A290A"/>
          <w:sz w:val="28"/>
          <w:szCs w:val="28"/>
          <w:lang w:eastAsia="ja-JP"/>
        </w:rPr>
        <w:t xml:space="preserve">Context </w:t>
      </w:r>
    </w:p>
    <w:p w14:paraId="1B5856BE" w14:textId="04F90E3B" w:rsidR="002802A3" w:rsidRPr="00836978" w:rsidRDefault="002802A3" w:rsidP="002802A3">
      <w:pPr>
        <w:spacing w:after="160" w:line="279" w:lineRule="auto"/>
        <w:rPr>
          <w:rFonts w:asciiTheme="minorHAnsi" w:eastAsiaTheme="minorEastAsia" w:hAnsiTheme="minorHAnsi"/>
          <w:sz w:val="24"/>
          <w:szCs w:val="24"/>
        </w:rPr>
      </w:pPr>
      <w:r w:rsidRPr="00836978">
        <w:rPr>
          <w:rFonts w:asciiTheme="minorHAnsi" w:eastAsiaTheme="minorEastAsia" w:hAnsiTheme="minorHAnsi"/>
          <w:sz w:val="24"/>
          <w:szCs w:val="24"/>
        </w:rPr>
        <w:t>The AEIC is aiming to address growing concerns from landholders about whether their public liability insurance is sufficient as large-scale renewable energy and transmission projects reshape rural regions. The</w:t>
      </w:r>
      <w:r w:rsidR="2501EF43" w:rsidRPr="00836978">
        <w:rPr>
          <w:rFonts w:asciiTheme="minorHAnsi" w:eastAsiaTheme="minorEastAsia" w:hAnsiTheme="minorHAnsi"/>
          <w:sz w:val="24"/>
          <w:szCs w:val="24"/>
        </w:rPr>
        <w:t>re is a perception the</w:t>
      </w:r>
      <w:r w:rsidRPr="00836978">
        <w:rPr>
          <w:rFonts w:asciiTheme="minorHAnsi" w:eastAsiaTheme="minorEastAsia" w:hAnsiTheme="minorHAnsi"/>
          <w:sz w:val="24"/>
          <w:szCs w:val="24"/>
        </w:rPr>
        <w:t xml:space="preserve"> move from agricultural land to mixed-use developments incorporating high-value infrastructure has magnified the consequences of landholder risks and heightened uncertainty in communities. This underscores the need for clear guidance and a nationally consistent approach.</w:t>
      </w:r>
      <w:r w:rsidR="000A2FDB">
        <w:rPr>
          <w:rFonts w:asciiTheme="minorHAnsi" w:eastAsiaTheme="minorEastAsia" w:hAnsiTheme="minorHAnsi"/>
          <w:sz w:val="24"/>
          <w:szCs w:val="24"/>
        </w:rPr>
        <w:t xml:space="preserve"> </w:t>
      </w:r>
      <w:r w:rsidR="000A2FDB" w:rsidRPr="00836978">
        <w:rPr>
          <w:rFonts w:asciiTheme="minorHAnsi" w:eastAsiaTheme="minorEastAsia" w:hAnsiTheme="minorHAnsi"/>
          <w:sz w:val="24"/>
          <w:szCs w:val="24"/>
        </w:rPr>
        <w:t>This position statement is focused on the needs of rural and regional landholders. It is not intended to address urban landholders or their neighbours.</w:t>
      </w:r>
    </w:p>
    <w:p w14:paraId="7372F442" w14:textId="159FF5C2" w:rsidR="002802A3" w:rsidRPr="00836978" w:rsidRDefault="002802A3" w:rsidP="002802A3">
      <w:pPr>
        <w:spacing w:after="160" w:line="279" w:lineRule="auto"/>
        <w:rPr>
          <w:rFonts w:asciiTheme="minorHAnsi" w:eastAsiaTheme="minorEastAsia" w:hAnsiTheme="minorHAnsi"/>
          <w:sz w:val="24"/>
          <w:szCs w:val="24"/>
        </w:rPr>
      </w:pPr>
      <w:r w:rsidRPr="00836978">
        <w:rPr>
          <w:rFonts w:asciiTheme="minorHAnsi" w:eastAsiaTheme="minorEastAsia" w:hAnsiTheme="minorHAnsi"/>
          <w:sz w:val="24"/>
          <w:szCs w:val="24"/>
        </w:rPr>
        <w:t>It is the AEIC position that landholders hosting renewable infrastructure, and those living nearby, should not face increased insurance risks or costs.</w:t>
      </w:r>
    </w:p>
    <w:p w14:paraId="66CA8815" w14:textId="0C0D6323" w:rsidR="002802A3" w:rsidRPr="00836978" w:rsidRDefault="00531367" w:rsidP="002802A3">
      <w:pPr>
        <w:spacing w:after="160" w:line="279" w:lineRule="auto"/>
        <w:rPr>
          <w:rFonts w:asciiTheme="minorHAnsi" w:eastAsiaTheme="minorEastAsia" w:hAnsiTheme="minorHAnsi"/>
          <w:sz w:val="24"/>
          <w:szCs w:val="24"/>
        </w:rPr>
      </w:pPr>
      <w:r w:rsidRPr="00836978">
        <w:rPr>
          <w:rFonts w:asciiTheme="minorHAnsi" w:eastAsiaTheme="minorEastAsia" w:hAnsiTheme="minorHAnsi"/>
          <w:sz w:val="24"/>
          <w:szCs w:val="24"/>
        </w:rPr>
        <w:t>At the time of publication, t</w:t>
      </w:r>
      <w:r w:rsidR="002802A3" w:rsidRPr="00836978">
        <w:rPr>
          <w:rFonts w:asciiTheme="minorHAnsi" w:eastAsiaTheme="minorEastAsia" w:hAnsiTheme="minorHAnsi"/>
          <w:sz w:val="24"/>
          <w:szCs w:val="24"/>
        </w:rPr>
        <w:t xml:space="preserve">he AEIC is not aware of any cases where a </w:t>
      </w:r>
      <w:r w:rsidR="00E603B2" w:rsidRPr="00836978">
        <w:rPr>
          <w:rFonts w:asciiTheme="minorHAnsi" w:eastAsiaTheme="minorEastAsia" w:hAnsiTheme="minorHAnsi"/>
          <w:sz w:val="24"/>
          <w:szCs w:val="24"/>
        </w:rPr>
        <w:t xml:space="preserve">developer/operator </w:t>
      </w:r>
      <w:r w:rsidR="002802A3" w:rsidRPr="00836978">
        <w:rPr>
          <w:rFonts w:asciiTheme="minorHAnsi" w:eastAsiaTheme="minorEastAsia" w:hAnsiTheme="minorHAnsi"/>
          <w:sz w:val="24"/>
          <w:szCs w:val="24"/>
        </w:rPr>
        <w:t xml:space="preserve">has pursued a neighbouring landholder for </w:t>
      </w:r>
      <w:r w:rsidR="009342A1" w:rsidRPr="00836978">
        <w:rPr>
          <w:rFonts w:asciiTheme="minorHAnsi" w:eastAsiaTheme="minorEastAsia" w:hAnsiTheme="minorHAnsi"/>
          <w:sz w:val="24"/>
          <w:szCs w:val="24"/>
        </w:rPr>
        <w:t>liabilities under</w:t>
      </w:r>
      <w:r w:rsidR="002802A3" w:rsidRPr="00836978">
        <w:rPr>
          <w:rFonts w:asciiTheme="minorHAnsi" w:eastAsiaTheme="minorEastAsia" w:hAnsiTheme="minorHAnsi"/>
          <w:sz w:val="24"/>
          <w:szCs w:val="24"/>
        </w:rPr>
        <w:t xml:space="preserve"> </w:t>
      </w:r>
      <w:r w:rsidR="009B4FEA" w:rsidRPr="00836978">
        <w:rPr>
          <w:rFonts w:asciiTheme="minorHAnsi" w:eastAsiaTheme="minorEastAsia" w:hAnsiTheme="minorHAnsi"/>
          <w:sz w:val="24"/>
          <w:szCs w:val="24"/>
        </w:rPr>
        <w:t xml:space="preserve">a </w:t>
      </w:r>
      <w:r w:rsidR="002802A3" w:rsidRPr="00836978">
        <w:rPr>
          <w:rFonts w:asciiTheme="minorHAnsi" w:eastAsiaTheme="minorEastAsia" w:hAnsiTheme="minorHAnsi"/>
          <w:sz w:val="24"/>
          <w:szCs w:val="24"/>
        </w:rPr>
        <w:t>public liability insurance</w:t>
      </w:r>
      <w:r w:rsidR="6601DD8A" w:rsidRPr="00836978">
        <w:rPr>
          <w:rFonts w:asciiTheme="minorHAnsi" w:eastAsiaTheme="minorEastAsia" w:hAnsiTheme="minorHAnsi"/>
          <w:sz w:val="24"/>
          <w:szCs w:val="24"/>
        </w:rPr>
        <w:t xml:space="preserve"> claim</w:t>
      </w:r>
      <w:r w:rsidR="002802A3" w:rsidRPr="00836978">
        <w:rPr>
          <w:rFonts w:asciiTheme="minorHAnsi" w:eastAsiaTheme="minorEastAsia" w:hAnsiTheme="minorHAnsi"/>
          <w:sz w:val="24"/>
          <w:szCs w:val="24"/>
        </w:rPr>
        <w:t xml:space="preserve">. Therefore, the uncertainty felt by landholders represents a perceived risk rather than an established one. However, it remains a concern that must be addressed before it </w:t>
      </w:r>
      <w:r w:rsidR="000559FE" w:rsidRPr="00836978">
        <w:rPr>
          <w:rFonts w:asciiTheme="minorHAnsi" w:eastAsiaTheme="minorEastAsia" w:hAnsiTheme="minorHAnsi"/>
          <w:sz w:val="24"/>
          <w:szCs w:val="24"/>
        </w:rPr>
        <w:t>becomes a reality.</w:t>
      </w:r>
    </w:p>
    <w:p w14:paraId="1F1A0147" w14:textId="0D0EA5E4" w:rsidR="00C94D79" w:rsidRDefault="00FE19F8" w:rsidP="003D041C">
      <w:pPr>
        <w:spacing w:after="160" w:line="279" w:lineRule="auto"/>
        <w:rPr>
          <w:rFonts w:asciiTheme="minorHAnsi" w:eastAsiaTheme="minorEastAsia" w:hAnsiTheme="minorHAnsi"/>
          <w:sz w:val="24"/>
          <w:szCs w:val="24"/>
        </w:rPr>
      </w:pPr>
      <w:r w:rsidRPr="00836978">
        <w:rPr>
          <w:rFonts w:asciiTheme="minorHAnsi" w:eastAsiaTheme="minorEastAsia" w:hAnsiTheme="minorHAnsi"/>
          <w:sz w:val="24"/>
          <w:szCs w:val="24"/>
        </w:rPr>
        <w:t xml:space="preserve">To deliver confidence for landholders, predictability for developers/operators, and certainty for governments and insurers, a nationally consistent framework on public liability insurance is essential. </w:t>
      </w:r>
    </w:p>
    <w:p w14:paraId="1CD68454" w14:textId="77777777" w:rsidR="000F6A99" w:rsidRDefault="000F6A99" w:rsidP="003D041C">
      <w:pPr>
        <w:spacing w:after="160" w:line="279" w:lineRule="auto"/>
        <w:rPr>
          <w:rFonts w:asciiTheme="minorHAnsi" w:eastAsiaTheme="minorEastAsia" w:hAnsiTheme="minorHAnsi"/>
          <w:sz w:val="24"/>
          <w:szCs w:val="24"/>
        </w:rPr>
      </w:pPr>
    </w:p>
    <w:p w14:paraId="4783C2A7" w14:textId="77777777" w:rsidR="00C94D79" w:rsidRDefault="00C94D79" w:rsidP="003D041C">
      <w:pPr>
        <w:spacing w:after="160" w:line="279" w:lineRule="auto"/>
        <w:rPr>
          <w:rFonts w:asciiTheme="minorHAnsi" w:eastAsiaTheme="minorEastAsia" w:hAnsiTheme="minorHAnsi"/>
          <w:sz w:val="24"/>
          <w:szCs w:val="24"/>
        </w:rPr>
      </w:pPr>
    </w:p>
    <w:p w14:paraId="6C7E09FD" w14:textId="77777777" w:rsidR="002758A9" w:rsidRDefault="002758A9" w:rsidP="003D041C">
      <w:pPr>
        <w:spacing w:after="160" w:line="279" w:lineRule="auto"/>
        <w:rPr>
          <w:rFonts w:asciiTheme="minorHAnsi" w:eastAsiaTheme="minorEastAsia" w:hAnsiTheme="minorHAnsi"/>
          <w:sz w:val="24"/>
          <w:szCs w:val="24"/>
        </w:rPr>
      </w:pPr>
    </w:p>
    <w:p w14:paraId="5447382C" w14:textId="77837E90" w:rsidR="002F340C" w:rsidRPr="00BA774E" w:rsidRDefault="00445844" w:rsidP="00475864">
      <w:pPr>
        <w:rPr>
          <w:rFonts w:asciiTheme="minorHAnsi" w:eastAsiaTheme="minorEastAsia" w:hAnsiTheme="minorHAnsi"/>
          <w:b/>
          <w:color w:val="8A290A"/>
          <w:sz w:val="28"/>
          <w:szCs w:val="28"/>
          <w:lang w:eastAsia="ja-JP"/>
        </w:rPr>
      </w:pPr>
      <w:r w:rsidRPr="520E8AAB">
        <w:rPr>
          <w:rFonts w:asciiTheme="minorHAnsi" w:eastAsiaTheme="minorEastAsia" w:hAnsiTheme="minorHAnsi"/>
          <w:b/>
          <w:color w:val="8A290A"/>
          <w:sz w:val="28"/>
          <w:szCs w:val="28"/>
          <w:lang w:eastAsia="ja-JP"/>
        </w:rPr>
        <w:lastRenderedPageBreak/>
        <w:t>Understanding the Challenge</w:t>
      </w:r>
    </w:p>
    <w:p w14:paraId="621A74DD" w14:textId="0908D69B" w:rsidR="00700A45" w:rsidRPr="00836978" w:rsidRDefault="003D041C" w:rsidP="003D041C">
      <w:pPr>
        <w:spacing w:after="160" w:line="279" w:lineRule="auto"/>
        <w:rPr>
          <w:rFonts w:asciiTheme="minorHAnsi" w:eastAsiaTheme="minorEastAsia" w:hAnsiTheme="minorHAnsi"/>
          <w:sz w:val="24"/>
          <w:szCs w:val="24"/>
        </w:rPr>
      </w:pPr>
      <w:r w:rsidRPr="00836978">
        <w:rPr>
          <w:rFonts w:asciiTheme="minorHAnsi" w:eastAsiaTheme="minorEastAsia" w:hAnsiTheme="minorHAnsi"/>
          <w:sz w:val="24"/>
          <w:szCs w:val="24"/>
        </w:rPr>
        <w:t xml:space="preserve">Across </w:t>
      </w:r>
      <w:r w:rsidR="0064109E" w:rsidRPr="00836978">
        <w:rPr>
          <w:rFonts w:asciiTheme="minorHAnsi" w:eastAsiaTheme="minorEastAsia" w:hAnsiTheme="minorHAnsi"/>
          <w:sz w:val="24"/>
          <w:szCs w:val="24"/>
        </w:rPr>
        <w:t xml:space="preserve">regional and rural </w:t>
      </w:r>
      <w:r w:rsidRPr="00836978">
        <w:rPr>
          <w:rFonts w:asciiTheme="minorHAnsi" w:eastAsiaTheme="minorEastAsia" w:hAnsiTheme="minorHAnsi"/>
          <w:sz w:val="24"/>
          <w:szCs w:val="24"/>
        </w:rPr>
        <w:t xml:space="preserve">Australia, landholders neighbouring new transmission lines and large renewable energy projects face uncertainty about the level of </w:t>
      </w:r>
      <w:r w:rsidR="17EB97CE" w:rsidRPr="00836978">
        <w:rPr>
          <w:rFonts w:asciiTheme="minorHAnsi" w:eastAsiaTheme="minorEastAsia" w:hAnsiTheme="minorHAnsi"/>
          <w:sz w:val="24"/>
          <w:szCs w:val="24"/>
        </w:rPr>
        <w:t>insurance</w:t>
      </w:r>
      <w:r w:rsidRPr="00836978">
        <w:rPr>
          <w:rFonts w:asciiTheme="minorHAnsi" w:eastAsiaTheme="minorEastAsia" w:hAnsiTheme="minorHAnsi"/>
          <w:sz w:val="24"/>
          <w:szCs w:val="24"/>
        </w:rPr>
        <w:t xml:space="preserve"> coverage required to protect against potential claims involving high-value infrastructure. While underlying risks have always existed, the emergence of energy assets on neighbouring land has heightened the potential impact</w:t>
      </w:r>
      <w:r w:rsidR="003A6860" w:rsidRPr="00836978">
        <w:rPr>
          <w:rFonts w:asciiTheme="minorHAnsi" w:eastAsiaTheme="minorEastAsia" w:hAnsiTheme="minorHAnsi"/>
          <w:sz w:val="24"/>
          <w:szCs w:val="24"/>
        </w:rPr>
        <w:t xml:space="preserve"> of the risks</w:t>
      </w:r>
      <w:r w:rsidRPr="00836978">
        <w:rPr>
          <w:rFonts w:asciiTheme="minorHAnsi" w:eastAsiaTheme="minorEastAsia" w:hAnsiTheme="minorHAnsi"/>
          <w:sz w:val="24"/>
          <w:szCs w:val="24"/>
        </w:rPr>
        <w:t>, making the allocation and responsibility of risk</w:t>
      </w:r>
      <w:r w:rsidR="00570ACF" w:rsidRPr="00836978">
        <w:rPr>
          <w:rFonts w:asciiTheme="minorHAnsi" w:eastAsiaTheme="minorEastAsia" w:hAnsiTheme="minorHAnsi"/>
          <w:sz w:val="24"/>
          <w:szCs w:val="24"/>
        </w:rPr>
        <w:t xml:space="preserve"> impact</w:t>
      </w:r>
      <w:r w:rsidRPr="00836978">
        <w:rPr>
          <w:rFonts w:asciiTheme="minorHAnsi" w:eastAsiaTheme="minorEastAsia" w:hAnsiTheme="minorHAnsi"/>
          <w:sz w:val="24"/>
          <w:szCs w:val="24"/>
        </w:rPr>
        <w:t xml:space="preserve"> a critical issue.</w:t>
      </w:r>
      <w:r w:rsidR="00FF25E8" w:rsidRPr="00836978">
        <w:rPr>
          <w:rFonts w:asciiTheme="minorHAnsi" w:eastAsiaTheme="minorEastAsia" w:hAnsiTheme="minorHAnsi"/>
          <w:sz w:val="24"/>
          <w:szCs w:val="24"/>
        </w:rPr>
        <w:t xml:space="preserve"> </w:t>
      </w:r>
      <w:r w:rsidR="00700A45" w:rsidRPr="00836978">
        <w:rPr>
          <w:rFonts w:asciiTheme="minorHAnsi" w:eastAsiaTheme="minorEastAsia" w:hAnsiTheme="minorHAnsi"/>
          <w:sz w:val="24"/>
          <w:szCs w:val="24"/>
        </w:rPr>
        <w:t>Trust, clarity, and transparency in insurance arrangements are essential to maintaining social licence and landholder confidence.</w:t>
      </w:r>
    </w:p>
    <w:p w14:paraId="574789BD" w14:textId="768BC5F9" w:rsidR="00BD41AC" w:rsidRPr="00836978" w:rsidRDefault="6BA533F4" w:rsidP="00475864">
      <w:pPr>
        <w:rPr>
          <w:rFonts w:asciiTheme="minorHAnsi" w:eastAsiaTheme="minorEastAsia" w:hAnsiTheme="minorHAnsi"/>
          <w:sz w:val="24"/>
          <w:szCs w:val="24"/>
        </w:rPr>
      </w:pPr>
      <w:r w:rsidRPr="00836978">
        <w:rPr>
          <w:rFonts w:asciiTheme="minorHAnsi" w:eastAsiaTheme="minorEastAsia" w:hAnsiTheme="minorHAnsi"/>
          <w:sz w:val="24"/>
          <w:szCs w:val="24"/>
        </w:rPr>
        <w:t xml:space="preserve">Traditional farm policies are designed to cover operational agricultural risks, storm or weather incidents, and structure or machinery damage. </w:t>
      </w:r>
      <w:r w:rsidR="00877D62" w:rsidRPr="00836978">
        <w:rPr>
          <w:rFonts w:asciiTheme="minorHAnsi" w:eastAsiaTheme="minorEastAsia" w:hAnsiTheme="minorHAnsi"/>
          <w:sz w:val="24"/>
          <w:szCs w:val="24"/>
        </w:rPr>
        <w:t xml:space="preserve">This situation differs from general farm insurance. </w:t>
      </w:r>
      <w:r w:rsidR="37C651E6" w:rsidRPr="00836978">
        <w:rPr>
          <w:rFonts w:asciiTheme="minorHAnsi" w:eastAsiaTheme="minorEastAsia" w:hAnsiTheme="minorHAnsi"/>
          <w:sz w:val="24"/>
          <w:szCs w:val="24"/>
        </w:rPr>
        <w:t>While these policies do have public liability, they are</w:t>
      </w:r>
      <w:r w:rsidR="5193C315" w:rsidRPr="00836978">
        <w:rPr>
          <w:rFonts w:asciiTheme="minorHAnsi" w:eastAsiaTheme="minorEastAsia" w:hAnsiTheme="minorHAnsi"/>
          <w:sz w:val="24"/>
          <w:szCs w:val="24"/>
        </w:rPr>
        <w:t xml:space="preserve"> not </w:t>
      </w:r>
      <w:r w:rsidR="326CB04C" w:rsidRPr="00836978">
        <w:rPr>
          <w:rFonts w:asciiTheme="minorHAnsi" w:eastAsiaTheme="minorEastAsia" w:hAnsiTheme="minorHAnsi"/>
          <w:sz w:val="24"/>
          <w:szCs w:val="24"/>
        </w:rPr>
        <w:t>designed</w:t>
      </w:r>
      <w:r w:rsidR="0045040A" w:rsidRPr="00836978">
        <w:rPr>
          <w:rFonts w:asciiTheme="minorHAnsi" w:eastAsiaTheme="minorEastAsia" w:hAnsiTheme="minorHAnsi"/>
          <w:sz w:val="24"/>
          <w:szCs w:val="24"/>
        </w:rPr>
        <w:t xml:space="preserve"> to protect farmers against large public liability exposures.</w:t>
      </w:r>
      <w:r w:rsidR="00E95121" w:rsidRPr="00836978">
        <w:rPr>
          <w:rFonts w:asciiTheme="minorHAnsi" w:eastAsiaTheme="minorEastAsia" w:hAnsiTheme="minorHAnsi"/>
          <w:sz w:val="24"/>
          <w:szCs w:val="24"/>
        </w:rPr>
        <w:t xml:space="preserve"> </w:t>
      </w:r>
    </w:p>
    <w:p w14:paraId="5F283416" w14:textId="51FDF695" w:rsidR="002F340C" w:rsidRPr="005B14B3" w:rsidRDefault="002F340C" w:rsidP="00475864">
      <w:pPr>
        <w:rPr>
          <w:rFonts w:asciiTheme="minorHAnsi" w:eastAsiaTheme="minorEastAsia" w:hAnsiTheme="minorHAnsi"/>
          <w:sz w:val="24"/>
          <w:szCs w:val="24"/>
        </w:rPr>
      </w:pPr>
      <w:r w:rsidRPr="00836978">
        <w:rPr>
          <w:rFonts w:asciiTheme="minorHAnsi" w:eastAsiaTheme="minorEastAsia" w:hAnsiTheme="minorHAnsi"/>
          <w:sz w:val="24"/>
          <w:szCs w:val="24"/>
        </w:rPr>
        <w:t>The AEIC understands</w:t>
      </w:r>
      <w:r w:rsidR="004C126D">
        <w:rPr>
          <w:rFonts w:asciiTheme="minorHAnsi" w:eastAsiaTheme="minorEastAsia" w:hAnsiTheme="minorHAnsi"/>
          <w:sz w:val="24"/>
          <w:szCs w:val="24"/>
        </w:rPr>
        <w:t xml:space="preserve"> the</w:t>
      </w:r>
      <w:r w:rsidRPr="00836978">
        <w:rPr>
          <w:rFonts w:asciiTheme="minorHAnsi" w:eastAsiaTheme="minorEastAsia" w:hAnsiTheme="minorHAnsi"/>
          <w:sz w:val="24"/>
          <w:szCs w:val="24"/>
        </w:rPr>
        <w:t xml:space="preserve"> concerns </w:t>
      </w:r>
      <w:r w:rsidR="00134373">
        <w:rPr>
          <w:rFonts w:asciiTheme="minorHAnsi" w:eastAsiaTheme="minorEastAsia" w:hAnsiTheme="minorHAnsi"/>
          <w:sz w:val="24"/>
          <w:szCs w:val="24"/>
        </w:rPr>
        <w:t>of landholders neighbouring</w:t>
      </w:r>
      <w:r w:rsidR="004C126D">
        <w:rPr>
          <w:rFonts w:asciiTheme="minorHAnsi" w:eastAsiaTheme="minorEastAsia" w:hAnsiTheme="minorHAnsi"/>
          <w:sz w:val="24"/>
          <w:szCs w:val="24"/>
        </w:rPr>
        <w:t xml:space="preserve"> </w:t>
      </w:r>
      <w:r w:rsidR="004C126D" w:rsidRPr="00836978">
        <w:rPr>
          <w:rFonts w:asciiTheme="minorHAnsi" w:eastAsiaTheme="minorEastAsia" w:hAnsiTheme="minorHAnsi"/>
          <w:sz w:val="24"/>
          <w:szCs w:val="24"/>
        </w:rPr>
        <w:t xml:space="preserve">high-value infrastructure </w:t>
      </w:r>
      <w:r w:rsidRPr="00836978">
        <w:rPr>
          <w:rFonts w:asciiTheme="minorHAnsi" w:eastAsiaTheme="minorEastAsia" w:hAnsiTheme="minorHAnsi"/>
          <w:sz w:val="24"/>
          <w:szCs w:val="24"/>
        </w:rPr>
        <w:t>are not linked to rising insurance prices. Premium increases are driven by external pressures such as climate-related losses, higher reinsurance costs, increased claim volumes, and inflation</w:t>
      </w:r>
      <w:r w:rsidR="00506DF3" w:rsidRPr="00836978">
        <w:rPr>
          <w:rFonts w:asciiTheme="minorHAnsi" w:eastAsiaTheme="minorEastAsia" w:hAnsiTheme="minorHAnsi"/>
          <w:sz w:val="24"/>
          <w:szCs w:val="24"/>
        </w:rPr>
        <w:t xml:space="preserve">; </w:t>
      </w:r>
      <w:r w:rsidRPr="00836978">
        <w:rPr>
          <w:rFonts w:asciiTheme="minorHAnsi" w:eastAsiaTheme="minorEastAsia" w:hAnsiTheme="minorHAnsi"/>
          <w:sz w:val="24"/>
          <w:szCs w:val="24"/>
        </w:rPr>
        <w:t>none of which can be attributed to the renewable energy</w:t>
      </w:r>
      <w:r w:rsidRPr="0E586599">
        <w:rPr>
          <w:rFonts w:asciiTheme="minorHAnsi" w:eastAsiaTheme="minorEastAsia" w:hAnsiTheme="minorHAnsi"/>
          <w:sz w:val="24"/>
          <w:szCs w:val="24"/>
        </w:rPr>
        <w:t xml:space="preserve"> transition.</w:t>
      </w:r>
      <w:r w:rsidR="6FBC37ED" w:rsidRPr="0E586599">
        <w:rPr>
          <w:rFonts w:asciiTheme="minorHAnsi" w:eastAsiaTheme="minorEastAsia" w:hAnsiTheme="minorHAnsi"/>
          <w:sz w:val="24"/>
          <w:szCs w:val="24"/>
        </w:rPr>
        <w:t xml:space="preserve"> </w:t>
      </w:r>
    </w:p>
    <w:p w14:paraId="0201DBBB" w14:textId="67FE9468" w:rsidR="00103D25" w:rsidRDefault="00D20094" w:rsidP="007250F8">
      <w:pPr>
        <w:pStyle w:val="Heading2"/>
        <w:spacing w:before="360"/>
        <w:ind w:left="0" w:firstLine="0"/>
        <w:rPr>
          <w:rFonts w:asciiTheme="minorHAnsi" w:hAnsiTheme="minorHAnsi"/>
          <w:b/>
        </w:rPr>
      </w:pPr>
      <w:r w:rsidRPr="6EF27244">
        <w:rPr>
          <w:rFonts w:asciiTheme="minorHAnsi" w:hAnsiTheme="minorHAnsi"/>
          <w:b/>
        </w:rPr>
        <w:t>What’s Missing</w:t>
      </w:r>
    </w:p>
    <w:p w14:paraId="325BE980" w14:textId="157BB67E" w:rsidR="003A4C45" w:rsidRPr="005B14B3" w:rsidRDefault="003A4C45" w:rsidP="003A4C45">
      <w:pPr>
        <w:rPr>
          <w:rFonts w:asciiTheme="minorHAnsi" w:eastAsiaTheme="minorEastAsia" w:hAnsiTheme="minorHAnsi"/>
          <w:sz w:val="24"/>
          <w:szCs w:val="24"/>
        </w:rPr>
      </w:pPr>
      <w:r w:rsidRPr="6EF27244">
        <w:rPr>
          <w:rFonts w:asciiTheme="minorHAnsi" w:eastAsiaTheme="minorEastAsia" w:hAnsiTheme="minorHAnsi"/>
          <w:sz w:val="24"/>
          <w:szCs w:val="24"/>
        </w:rPr>
        <w:t xml:space="preserve">Guidance for landholders on roles, protections, and costs is fragmented, and engagement remains </w:t>
      </w:r>
      <w:r w:rsidRPr="00836978">
        <w:rPr>
          <w:rFonts w:asciiTheme="minorHAnsi" w:eastAsiaTheme="minorEastAsia" w:hAnsiTheme="minorHAnsi"/>
          <w:sz w:val="24"/>
          <w:szCs w:val="24"/>
        </w:rPr>
        <w:t xml:space="preserve">inconsistent. The absence of a simple, nationally consistent approach is creating stress and uncertainty for landholders and </w:t>
      </w:r>
      <w:r w:rsidR="003D6D05" w:rsidRPr="00836978">
        <w:rPr>
          <w:rFonts w:asciiTheme="minorHAnsi" w:eastAsiaTheme="minorEastAsia" w:hAnsiTheme="minorHAnsi"/>
          <w:sz w:val="24"/>
          <w:szCs w:val="24"/>
        </w:rPr>
        <w:t>hindering</w:t>
      </w:r>
      <w:r w:rsidRPr="00836978">
        <w:rPr>
          <w:rFonts w:asciiTheme="minorHAnsi" w:eastAsiaTheme="minorEastAsia" w:hAnsiTheme="minorHAnsi"/>
          <w:sz w:val="24"/>
          <w:szCs w:val="24"/>
        </w:rPr>
        <w:t xml:space="preserve"> cooperation between landholders, developers</w:t>
      </w:r>
      <w:r w:rsidR="00AD1CA7" w:rsidRPr="00836978">
        <w:rPr>
          <w:rFonts w:asciiTheme="minorHAnsi" w:eastAsiaTheme="minorEastAsia" w:hAnsiTheme="minorHAnsi"/>
          <w:sz w:val="24"/>
          <w:szCs w:val="24"/>
        </w:rPr>
        <w:t>/</w:t>
      </w:r>
      <w:r w:rsidRPr="00836978">
        <w:rPr>
          <w:rFonts w:asciiTheme="minorHAnsi" w:eastAsiaTheme="minorEastAsia" w:hAnsiTheme="minorHAnsi"/>
          <w:sz w:val="24"/>
          <w:szCs w:val="24"/>
        </w:rPr>
        <w:t>operators, and insurers.</w:t>
      </w:r>
    </w:p>
    <w:p w14:paraId="60412AFB" w14:textId="19897D9B" w:rsidR="005B14B3" w:rsidRPr="005B14B3" w:rsidRDefault="005B14B3" w:rsidP="005B14B3">
      <w:pPr>
        <w:pStyle w:val="Heading2"/>
        <w:spacing w:before="360"/>
        <w:ind w:left="0" w:firstLine="0"/>
        <w:rPr>
          <w:rFonts w:asciiTheme="minorHAnsi" w:hAnsiTheme="minorHAnsi"/>
          <w:b/>
        </w:rPr>
      </w:pPr>
      <w:r w:rsidRPr="6EF27244">
        <w:rPr>
          <w:rFonts w:asciiTheme="minorHAnsi" w:hAnsiTheme="minorHAnsi"/>
          <w:b/>
        </w:rPr>
        <w:t>Collaborative Efforts to Address Industry Challenges</w:t>
      </w:r>
    </w:p>
    <w:p w14:paraId="7FD425DD" w14:textId="6A0F84E7" w:rsidR="005B14B3" w:rsidRPr="005B14B3" w:rsidRDefault="005B14B3" w:rsidP="005B14B3">
      <w:pPr>
        <w:rPr>
          <w:rFonts w:asciiTheme="minorHAnsi" w:eastAsiaTheme="minorEastAsia" w:hAnsiTheme="minorHAnsi"/>
          <w:sz w:val="24"/>
          <w:szCs w:val="24"/>
        </w:rPr>
      </w:pPr>
      <w:r w:rsidRPr="6EF27244">
        <w:rPr>
          <w:rFonts w:asciiTheme="minorHAnsi" w:eastAsiaTheme="minorEastAsia" w:hAnsiTheme="minorHAnsi"/>
          <w:sz w:val="24"/>
          <w:szCs w:val="24"/>
        </w:rPr>
        <w:t>The AEIC has been actively investigating this issue and engaging with stakeholders across Australia</w:t>
      </w:r>
      <w:r w:rsidR="008A739E">
        <w:rPr>
          <w:rFonts w:asciiTheme="minorHAnsi" w:eastAsiaTheme="minorEastAsia" w:hAnsiTheme="minorHAnsi"/>
          <w:sz w:val="24"/>
          <w:szCs w:val="24"/>
        </w:rPr>
        <w:t>,</w:t>
      </w:r>
      <w:r w:rsidRPr="6EF27244">
        <w:rPr>
          <w:rFonts w:asciiTheme="minorHAnsi" w:eastAsiaTheme="minorEastAsia" w:hAnsiTheme="minorHAnsi"/>
          <w:sz w:val="24"/>
          <w:szCs w:val="24"/>
        </w:rPr>
        <w:t xml:space="preserve"> including developers</w:t>
      </w:r>
      <w:r w:rsidR="00AD1CA7">
        <w:rPr>
          <w:rFonts w:asciiTheme="minorHAnsi" w:eastAsiaTheme="minorEastAsia" w:hAnsiTheme="minorHAnsi"/>
          <w:sz w:val="24"/>
          <w:szCs w:val="24"/>
        </w:rPr>
        <w:t>/</w:t>
      </w:r>
      <w:r w:rsidRPr="6EF27244">
        <w:rPr>
          <w:rFonts w:asciiTheme="minorHAnsi" w:eastAsiaTheme="minorEastAsia" w:hAnsiTheme="minorHAnsi"/>
          <w:sz w:val="24"/>
          <w:szCs w:val="24"/>
        </w:rPr>
        <w:t xml:space="preserve">operators, insurers, farming groups, regulators, and risk assessors, to better understand the situation and explore workable solutions. </w:t>
      </w:r>
    </w:p>
    <w:p w14:paraId="6C4A73BD" w14:textId="77777777" w:rsidR="005B14B3" w:rsidRPr="005B14B3" w:rsidRDefault="005B14B3" w:rsidP="005B14B3">
      <w:pPr>
        <w:rPr>
          <w:rFonts w:asciiTheme="minorHAnsi" w:eastAsiaTheme="minorEastAsia" w:hAnsiTheme="minorHAnsi"/>
          <w:sz w:val="24"/>
          <w:szCs w:val="24"/>
        </w:rPr>
      </w:pPr>
      <w:r w:rsidRPr="6EF27244">
        <w:rPr>
          <w:rFonts w:asciiTheme="minorHAnsi" w:eastAsiaTheme="minorEastAsia" w:hAnsiTheme="minorHAnsi"/>
          <w:sz w:val="24"/>
          <w:szCs w:val="24"/>
        </w:rPr>
        <w:t>Key topics included:</w:t>
      </w:r>
    </w:p>
    <w:p w14:paraId="7F471464" w14:textId="1E40C9E1" w:rsidR="005B14B3" w:rsidRPr="005B14B3" w:rsidRDefault="005B14B3" w:rsidP="009E0E69">
      <w:pPr>
        <w:pStyle w:val="ListParagraph"/>
        <w:numPr>
          <w:ilvl w:val="0"/>
          <w:numId w:val="10"/>
        </w:numPr>
      </w:pPr>
      <w:r w:rsidRPr="005B14B3">
        <w:t>Defining who the concerned parties are and what constitutes a “neighbour.”</w:t>
      </w:r>
    </w:p>
    <w:p w14:paraId="64E62E8C" w14:textId="6BDFFAAB" w:rsidR="005B14B3" w:rsidRPr="005B14B3" w:rsidRDefault="005B14B3" w:rsidP="009E0E69">
      <w:pPr>
        <w:pStyle w:val="ListParagraph"/>
        <w:numPr>
          <w:ilvl w:val="1"/>
          <w:numId w:val="10"/>
        </w:numPr>
      </w:pPr>
      <w:r w:rsidRPr="005B14B3">
        <w:t xml:space="preserve">Definitions of “neighbour” can vary by project, creating confusion and uneven </w:t>
      </w:r>
      <w:r w:rsidR="00141F39" w:rsidRPr="005B14B3">
        <w:t>outcomes.</w:t>
      </w:r>
    </w:p>
    <w:p w14:paraId="6D949230" w14:textId="6E69995F" w:rsidR="005B14B3" w:rsidRPr="005B14B3" w:rsidRDefault="005B14B3" w:rsidP="009E0E69">
      <w:pPr>
        <w:pStyle w:val="ListParagraph"/>
        <w:numPr>
          <w:ilvl w:val="0"/>
          <w:numId w:val="10"/>
        </w:numPr>
      </w:pPr>
      <w:r w:rsidRPr="005B14B3">
        <w:t>Managing the increased consequence of risk and identifying who is best placed to carry the largest share of this responsibility.</w:t>
      </w:r>
    </w:p>
    <w:p w14:paraId="05CDDD31" w14:textId="4401FBD5" w:rsidR="005B14B3" w:rsidRDefault="005B14B3" w:rsidP="009E0E69">
      <w:pPr>
        <w:pStyle w:val="ListParagraph"/>
        <w:numPr>
          <w:ilvl w:val="0"/>
          <w:numId w:val="10"/>
        </w:numPr>
      </w:pPr>
      <w:r w:rsidRPr="005B14B3">
        <w:t>Implementing a nationally consistent approach.</w:t>
      </w:r>
    </w:p>
    <w:p w14:paraId="78904E73" w14:textId="77777777" w:rsidR="00891679" w:rsidRDefault="00891679" w:rsidP="00847D77">
      <w:pPr>
        <w:pStyle w:val="ListParagraph"/>
      </w:pPr>
    </w:p>
    <w:p w14:paraId="3FB2CC76" w14:textId="77777777" w:rsidR="00A625E0" w:rsidRDefault="00D9608F" w:rsidP="00A625E0">
      <w:pPr>
        <w:tabs>
          <w:tab w:val="left" w:pos="1695"/>
        </w:tabs>
        <w:rPr>
          <w:rFonts w:asciiTheme="minorHAnsi" w:eastAsiaTheme="minorEastAsia" w:hAnsiTheme="minorHAnsi"/>
          <w:b/>
          <w:color w:val="8A290A"/>
          <w:sz w:val="28"/>
          <w:szCs w:val="28"/>
          <w:lang w:eastAsia="ja-JP"/>
        </w:rPr>
      </w:pPr>
      <w:r>
        <w:rPr>
          <w:rFonts w:asciiTheme="minorHAnsi" w:eastAsiaTheme="minorEastAsia" w:hAnsiTheme="minorHAnsi"/>
          <w:b/>
          <w:color w:val="8A290A"/>
          <w:sz w:val="28"/>
          <w:szCs w:val="28"/>
          <w:lang w:eastAsia="ja-JP"/>
        </w:rPr>
        <w:tab/>
      </w:r>
    </w:p>
    <w:p w14:paraId="34DAA248" w14:textId="77777777" w:rsidR="000F6A99" w:rsidRDefault="000F6A99" w:rsidP="00A625E0">
      <w:pPr>
        <w:tabs>
          <w:tab w:val="left" w:pos="1695"/>
        </w:tabs>
        <w:rPr>
          <w:rFonts w:asciiTheme="minorHAnsi" w:eastAsiaTheme="minorEastAsia" w:hAnsiTheme="minorHAnsi"/>
          <w:b/>
          <w:color w:val="8A290A"/>
          <w:sz w:val="28"/>
          <w:szCs w:val="28"/>
          <w:lang w:eastAsia="ja-JP"/>
        </w:rPr>
      </w:pPr>
    </w:p>
    <w:p w14:paraId="63238E2F" w14:textId="4B9574E8" w:rsidR="005B14B3" w:rsidRPr="005B14B3" w:rsidRDefault="6F265C9F" w:rsidP="00A625E0">
      <w:pPr>
        <w:tabs>
          <w:tab w:val="left" w:pos="1695"/>
        </w:tabs>
        <w:rPr>
          <w:rFonts w:asciiTheme="minorHAnsi" w:eastAsiaTheme="minorEastAsia" w:hAnsiTheme="minorHAnsi"/>
          <w:b/>
          <w:color w:val="8A290A"/>
          <w:sz w:val="28"/>
          <w:szCs w:val="28"/>
          <w:lang w:eastAsia="ja-JP"/>
        </w:rPr>
      </w:pPr>
      <w:r w:rsidRPr="520E8AAB">
        <w:rPr>
          <w:rFonts w:asciiTheme="minorHAnsi" w:eastAsiaTheme="minorEastAsia" w:hAnsiTheme="minorHAnsi"/>
          <w:b/>
          <w:color w:val="8A290A"/>
          <w:sz w:val="28"/>
          <w:szCs w:val="28"/>
          <w:lang w:eastAsia="ja-JP"/>
        </w:rPr>
        <w:lastRenderedPageBreak/>
        <w:t>Principles for an insurance framework</w:t>
      </w:r>
    </w:p>
    <w:p w14:paraId="2412C931" w14:textId="0AF83AA4" w:rsidR="00AA03AC" w:rsidRDefault="2EC0927F" w:rsidP="17D3BDAA">
      <w:pPr>
        <w:rPr>
          <w:rFonts w:asciiTheme="minorHAnsi" w:eastAsiaTheme="minorEastAsia" w:hAnsiTheme="minorHAnsi"/>
          <w:b/>
          <w:bCs/>
          <w:sz w:val="24"/>
          <w:szCs w:val="24"/>
        </w:rPr>
      </w:pPr>
      <w:r w:rsidRPr="0E586599">
        <w:rPr>
          <w:rFonts w:asciiTheme="minorHAnsi" w:eastAsiaTheme="minorEastAsia" w:hAnsiTheme="minorHAnsi"/>
          <w:b/>
          <w:bCs/>
          <w:sz w:val="24"/>
          <w:szCs w:val="24"/>
        </w:rPr>
        <w:t>Coverage</w:t>
      </w:r>
    </w:p>
    <w:p w14:paraId="1AC2674A" w14:textId="724E2508" w:rsidR="005B14B3" w:rsidRPr="00CF4849" w:rsidRDefault="270A9B69" w:rsidP="009E0E69">
      <w:pPr>
        <w:pStyle w:val="ListParagraph"/>
        <w:numPr>
          <w:ilvl w:val="0"/>
          <w:numId w:val="15"/>
        </w:numPr>
      </w:pPr>
      <w:r w:rsidRPr="0E586599">
        <w:t>The</w:t>
      </w:r>
      <w:r w:rsidR="005B14B3" w:rsidRPr="0E586599">
        <w:t xml:space="preserve"> nationally consistent approach should cover large wind and solar farms, large batteries, pumped hydro, and transmission projects.</w:t>
      </w:r>
    </w:p>
    <w:p w14:paraId="5B36FDA9" w14:textId="57546B40" w:rsidR="005B14B3" w:rsidRPr="00836978" w:rsidRDefault="1B3ADB49" w:rsidP="009E0E69">
      <w:pPr>
        <w:pStyle w:val="ListParagraph"/>
        <w:numPr>
          <w:ilvl w:val="0"/>
          <w:numId w:val="15"/>
        </w:numPr>
      </w:pPr>
      <w:r w:rsidRPr="0E586599">
        <w:t>A</w:t>
      </w:r>
      <w:r w:rsidR="005B14B3" w:rsidRPr="00CF4849">
        <w:t xml:space="preserve"> </w:t>
      </w:r>
      <w:r w:rsidR="004D5939">
        <w:t>five</w:t>
      </w:r>
      <w:r w:rsidR="005B14B3" w:rsidRPr="00CF4849">
        <w:t xml:space="preserve">-part approach to defining a “neighbour” is recommended. This would include the </w:t>
      </w:r>
      <w:r w:rsidR="005B14B3" w:rsidRPr="00836978">
        <w:t>developer</w:t>
      </w:r>
      <w:r w:rsidR="00B67435" w:rsidRPr="00836978">
        <w:t>/</w:t>
      </w:r>
      <w:r w:rsidR="005B14B3" w:rsidRPr="00836978">
        <w:t>operator offering waivers of subrogation and/or including in their insurance policies any neighbours who:</w:t>
      </w:r>
    </w:p>
    <w:p w14:paraId="0CD22E33" w14:textId="77777777" w:rsidR="00325630" w:rsidRPr="00836978" w:rsidRDefault="00325630" w:rsidP="00325630">
      <w:pPr>
        <w:pStyle w:val="ListParagraph"/>
        <w:numPr>
          <w:ilvl w:val="0"/>
          <w:numId w:val="14"/>
        </w:numPr>
      </w:pPr>
      <w:r w:rsidRPr="00836978">
        <w:t>Receive neighbour benefit payments from the developer/operator; and/or</w:t>
      </w:r>
    </w:p>
    <w:p w14:paraId="76431844" w14:textId="77777777" w:rsidR="00325630" w:rsidRPr="00836978" w:rsidRDefault="00325630" w:rsidP="00325630">
      <w:pPr>
        <w:pStyle w:val="ListParagraph"/>
        <w:numPr>
          <w:ilvl w:val="0"/>
          <w:numId w:val="14"/>
        </w:numPr>
      </w:pPr>
      <w:r w:rsidRPr="00836978">
        <w:t>Have entered into a contractual agreement (e.g., a ‘Neighbour Agreement’) or similar; and/or</w:t>
      </w:r>
    </w:p>
    <w:p w14:paraId="0706DC52" w14:textId="77777777" w:rsidR="00325630" w:rsidRPr="00836978" w:rsidRDefault="00325630" w:rsidP="00325630">
      <w:pPr>
        <w:pStyle w:val="ListParagraph"/>
        <w:numPr>
          <w:ilvl w:val="0"/>
          <w:numId w:val="14"/>
        </w:numPr>
      </w:pPr>
      <w:r w:rsidRPr="00836978">
        <w:t>Live within 3.5 kilometres of the project; and/or</w:t>
      </w:r>
    </w:p>
    <w:p w14:paraId="1ACADA8F" w14:textId="3332F6C1" w:rsidR="004D5939" w:rsidRPr="00836978" w:rsidRDefault="00ED0BE9" w:rsidP="5259AC3E">
      <w:pPr>
        <w:pStyle w:val="ListParagraph"/>
        <w:numPr>
          <w:ilvl w:val="0"/>
          <w:numId w:val="14"/>
        </w:numPr>
      </w:pPr>
      <w:r>
        <w:t>H</w:t>
      </w:r>
      <w:r w:rsidR="00DA4D59" w:rsidRPr="00836978">
        <w:t>a</w:t>
      </w:r>
      <w:r w:rsidR="001C3E81" w:rsidRPr="00836978">
        <w:t>ve</w:t>
      </w:r>
      <w:r w:rsidR="00DA4D59" w:rsidRPr="00836978">
        <w:t xml:space="preserve"> been assessed as relevant by the developer/operator</w:t>
      </w:r>
      <w:r w:rsidR="004D5939" w:rsidRPr="00836978">
        <w:t>; and/or</w:t>
      </w:r>
    </w:p>
    <w:p w14:paraId="6A6C15FC" w14:textId="0A4B4D29" w:rsidR="00142A69" w:rsidRPr="00836978" w:rsidRDefault="00ED0BE9" w:rsidP="5259AC3E">
      <w:pPr>
        <w:pStyle w:val="ListParagraph"/>
        <w:numPr>
          <w:ilvl w:val="0"/>
          <w:numId w:val="14"/>
        </w:numPr>
      </w:pPr>
      <w:r>
        <w:t>A</w:t>
      </w:r>
      <w:r w:rsidR="000662CF" w:rsidRPr="00836978">
        <w:t xml:space="preserve">re </w:t>
      </w:r>
      <w:r w:rsidR="00325630" w:rsidRPr="00836978">
        <w:t>within a reasonable distance of an energy asset who raises concerns about their risk to the infrastructure, citing factors such as local terrain, topography, vegetation, and prevailing winds.</w:t>
      </w:r>
    </w:p>
    <w:p w14:paraId="188AF2C1" w14:textId="29D6A854" w:rsidR="00E86D91" w:rsidRPr="00E86D91" w:rsidRDefault="004A72A2" w:rsidP="00E86D91">
      <w:pPr>
        <w:ind w:left="720"/>
        <w:rPr>
          <w:i/>
          <w:iCs/>
          <w:sz w:val="18"/>
          <w:szCs w:val="18"/>
        </w:rPr>
      </w:pPr>
      <w:r w:rsidRPr="004A72A2">
        <w:rPr>
          <w:i/>
          <w:iCs/>
          <w:sz w:val="18"/>
          <w:szCs w:val="18"/>
        </w:rPr>
        <w:t>A 3.5 km definition is important to ensure that neighbours who face increased risk consequences from nearby large renewable energy projects are treated consistently for insurance purposes, even where some projects do not provide neighbour benefit payments or agreements</w:t>
      </w:r>
    </w:p>
    <w:p w14:paraId="5E0CBA12" w14:textId="37C3B7B9" w:rsidR="00BC26E7" w:rsidRPr="00BC26E7" w:rsidRDefault="00BC26E7" w:rsidP="5259AC3E">
      <w:pPr>
        <w:spacing w:after="160" w:line="279" w:lineRule="auto"/>
        <w:rPr>
          <w:rFonts w:asciiTheme="minorHAnsi" w:eastAsiaTheme="minorEastAsia" w:hAnsiTheme="minorHAnsi"/>
          <w:b/>
          <w:sz w:val="24"/>
          <w:szCs w:val="24"/>
        </w:rPr>
      </w:pPr>
      <w:r w:rsidRPr="0E586599">
        <w:rPr>
          <w:rFonts w:asciiTheme="minorHAnsi" w:eastAsiaTheme="minorEastAsia" w:hAnsiTheme="minorHAnsi"/>
          <w:b/>
          <w:sz w:val="24"/>
          <w:szCs w:val="24"/>
        </w:rPr>
        <w:t>Fair Protection</w:t>
      </w:r>
      <w:r w:rsidR="00B2178D" w:rsidRPr="0E586599">
        <w:rPr>
          <w:rFonts w:asciiTheme="minorHAnsi" w:eastAsiaTheme="minorEastAsia" w:hAnsiTheme="minorHAnsi"/>
          <w:b/>
          <w:sz w:val="24"/>
          <w:szCs w:val="24"/>
        </w:rPr>
        <w:t xml:space="preserve"> - Hold-Harmless Model</w:t>
      </w:r>
    </w:p>
    <w:p w14:paraId="0181C1C7" w14:textId="379567CE" w:rsidR="005B14B3" w:rsidRPr="00683D55" w:rsidRDefault="51CBE7FF" w:rsidP="009E0E69">
      <w:pPr>
        <w:pStyle w:val="ListParagraph"/>
        <w:numPr>
          <w:ilvl w:val="0"/>
          <w:numId w:val="16"/>
        </w:numPr>
      </w:pPr>
      <w:r w:rsidRPr="0E586599">
        <w:t>A</w:t>
      </w:r>
      <w:r w:rsidR="6BBD1E1B" w:rsidRPr="0E586599">
        <w:t xml:space="preserve"> </w:t>
      </w:r>
      <w:r w:rsidR="005B14B3" w:rsidRPr="0E586599">
        <w:t>hold-</w:t>
      </w:r>
      <w:r w:rsidR="005B14B3" w:rsidRPr="00683D55">
        <w:t xml:space="preserve">harmless model </w:t>
      </w:r>
      <w:r w:rsidR="5EE1E57F" w:rsidRPr="00683D55">
        <w:t xml:space="preserve">offered or provided </w:t>
      </w:r>
      <w:r w:rsidR="005B14B3" w:rsidRPr="00683D55">
        <w:t>by the developer</w:t>
      </w:r>
      <w:r w:rsidR="001D2F0A" w:rsidRPr="00683D55">
        <w:t>/</w:t>
      </w:r>
      <w:r w:rsidR="005B14B3" w:rsidRPr="00683D55">
        <w:t xml:space="preserve">operator </w:t>
      </w:r>
      <w:r w:rsidR="00E0395A" w:rsidRPr="00683D55">
        <w:t>is</w:t>
      </w:r>
      <w:r w:rsidR="005B14B3" w:rsidRPr="00683D55">
        <w:t xml:space="preserve"> the </w:t>
      </w:r>
      <w:r w:rsidR="0F6AE4C3" w:rsidRPr="00683D55">
        <w:t>mo</w:t>
      </w:r>
      <w:r w:rsidR="3B4DCF29" w:rsidRPr="00683D55">
        <w:t xml:space="preserve">st </w:t>
      </w:r>
      <w:r w:rsidR="623CE87F" w:rsidRPr="00683D55">
        <w:t>appropriate</w:t>
      </w:r>
      <w:r w:rsidR="005B14B3" w:rsidRPr="00683D55">
        <w:t xml:space="preserve"> path forward. </w:t>
      </w:r>
    </w:p>
    <w:p w14:paraId="677AC915" w14:textId="4661A596" w:rsidR="005B14B3" w:rsidRPr="00683D55" w:rsidRDefault="005B14B3" w:rsidP="009E0E69">
      <w:pPr>
        <w:pStyle w:val="ListParagraph"/>
        <w:numPr>
          <w:ilvl w:val="0"/>
          <w:numId w:val="16"/>
        </w:numPr>
      </w:pPr>
      <w:r w:rsidRPr="00683D55">
        <w:t xml:space="preserve">Under this model, the developer/operator </w:t>
      </w:r>
      <w:r w:rsidR="00981B48" w:rsidRPr="00683D55">
        <w:t>c</w:t>
      </w:r>
      <w:r w:rsidRPr="00683D55">
        <w:t xml:space="preserve">ould contractually protect neighbouring landholders for losses </w:t>
      </w:r>
      <w:r w:rsidR="52557B34" w:rsidRPr="00683D55">
        <w:t xml:space="preserve">or liability </w:t>
      </w:r>
      <w:r w:rsidRPr="00683D55">
        <w:t>involving project infrastructure</w:t>
      </w:r>
      <w:r w:rsidR="00BA5B2A" w:rsidRPr="00683D55">
        <w:t>.</w:t>
      </w:r>
    </w:p>
    <w:p w14:paraId="69DCE69C" w14:textId="7115FAD8" w:rsidR="005B14B3" w:rsidRPr="00683D55" w:rsidRDefault="005B14B3" w:rsidP="009E0E69">
      <w:pPr>
        <w:pStyle w:val="ListParagraph"/>
        <w:numPr>
          <w:ilvl w:val="0"/>
          <w:numId w:val="16"/>
        </w:numPr>
      </w:pPr>
      <w:r w:rsidRPr="00683D55">
        <w:t xml:space="preserve">The </w:t>
      </w:r>
      <w:r w:rsidR="00ED6F66" w:rsidRPr="00683D55">
        <w:t>developer/</w:t>
      </w:r>
      <w:r w:rsidR="00141F39" w:rsidRPr="00683D55">
        <w:t>operator’s</w:t>
      </w:r>
      <w:r w:rsidRPr="00683D55">
        <w:t xml:space="preserve"> commercial property insurance would respond to incidents attributable to neighbour activity, provided that the neighbour’s activity was not conducted in a </w:t>
      </w:r>
      <w:r w:rsidR="00AF21C7" w:rsidRPr="00683D55">
        <w:t xml:space="preserve">grossly </w:t>
      </w:r>
      <w:r w:rsidRPr="00683D55">
        <w:t>negligent or wilful manner.</w:t>
      </w:r>
      <w:r w:rsidR="00751B80" w:rsidRPr="00683D55">
        <w:t xml:space="preserve"> </w:t>
      </w:r>
    </w:p>
    <w:p w14:paraId="37D643C4" w14:textId="1C5DA062" w:rsidR="005B14B3" w:rsidRPr="005B14B3" w:rsidRDefault="005B14B3" w:rsidP="009E0E69">
      <w:pPr>
        <w:pStyle w:val="ListParagraph"/>
        <w:numPr>
          <w:ilvl w:val="0"/>
          <w:numId w:val="16"/>
        </w:numPr>
      </w:pPr>
      <w:r w:rsidRPr="00683D55">
        <w:t>This process could include adding</w:t>
      </w:r>
      <w:r w:rsidRPr="0E586599">
        <w:t xml:space="preserve"> neighbours as insured parties on the developer/operator’s policy and/or using waivers of subrogation. </w:t>
      </w:r>
    </w:p>
    <w:p w14:paraId="69585463" w14:textId="5E8B34A7" w:rsidR="005B14B3" w:rsidRPr="005B14B3" w:rsidRDefault="005B14B3" w:rsidP="009E0E69">
      <w:pPr>
        <w:pStyle w:val="ListParagraph"/>
        <w:numPr>
          <w:ilvl w:val="0"/>
          <w:numId w:val="16"/>
        </w:numPr>
      </w:pPr>
      <w:r w:rsidRPr="0E586599">
        <w:t>Importantly, this model does not excuse the neighbour from holding public liability insurance, as it remains in their best interest to maintain coverage for other potential incidents on their property (e.g., trips and falls).</w:t>
      </w:r>
    </w:p>
    <w:p w14:paraId="4A317AD3" w14:textId="7D7B75AF" w:rsidR="00AD4991" w:rsidRDefault="00AD4991" w:rsidP="5259AC3E">
      <w:pPr>
        <w:spacing w:after="160" w:line="279" w:lineRule="auto"/>
        <w:rPr>
          <w:rFonts w:asciiTheme="minorHAnsi" w:eastAsiaTheme="minorEastAsia" w:hAnsiTheme="minorHAnsi"/>
          <w:sz w:val="24"/>
          <w:szCs w:val="24"/>
        </w:rPr>
      </w:pPr>
      <w:r w:rsidRPr="520E8AAB">
        <w:rPr>
          <w:rFonts w:asciiTheme="minorHAnsi" w:eastAsiaTheme="minorEastAsia" w:hAnsiTheme="minorHAnsi"/>
          <w:b/>
          <w:sz w:val="24"/>
          <w:szCs w:val="24"/>
        </w:rPr>
        <w:t>Shared Responsibility</w:t>
      </w:r>
      <w:r w:rsidR="00B2178D" w:rsidRPr="520E8AAB">
        <w:rPr>
          <w:rFonts w:asciiTheme="minorHAnsi" w:eastAsiaTheme="minorEastAsia" w:hAnsiTheme="minorHAnsi"/>
          <w:b/>
          <w:sz w:val="24"/>
          <w:szCs w:val="24"/>
        </w:rPr>
        <w:t xml:space="preserve"> - Risk Mitigation and Collaboration</w:t>
      </w:r>
    </w:p>
    <w:p w14:paraId="06F87E2D" w14:textId="2FFFE2AA" w:rsidR="00923E50" w:rsidRDefault="00C0409F" w:rsidP="00D40CB0">
      <w:pPr>
        <w:pStyle w:val="ListParagraph"/>
        <w:numPr>
          <w:ilvl w:val="0"/>
          <w:numId w:val="13"/>
        </w:numPr>
      </w:pPr>
      <w:r w:rsidRPr="00683D55">
        <w:t>Developers/operators</w:t>
      </w:r>
      <w:r w:rsidR="00EF0CA1" w:rsidRPr="00683D55">
        <w:t xml:space="preserve"> and landholders</w:t>
      </w:r>
      <w:r w:rsidRPr="00683D55">
        <w:t xml:space="preserve"> </w:t>
      </w:r>
      <w:r w:rsidR="00E628D9" w:rsidRPr="00683D55">
        <w:t>should</w:t>
      </w:r>
      <w:r w:rsidR="0F849930" w:rsidRPr="00683D55">
        <w:t xml:space="preserve"> </w:t>
      </w:r>
      <w:r w:rsidR="005B14B3" w:rsidRPr="00683D55">
        <w:t xml:space="preserve">work collaboratively to mitigate risk by </w:t>
      </w:r>
      <w:r w:rsidR="00AE7310" w:rsidRPr="00683D55">
        <w:t>holding</w:t>
      </w:r>
      <w:r w:rsidR="005B14B3" w:rsidRPr="00683D55">
        <w:t xml:space="preserve"> </w:t>
      </w:r>
      <w:r w:rsidR="55E09814" w:rsidRPr="00683D55">
        <w:t xml:space="preserve">risk </w:t>
      </w:r>
      <w:r w:rsidR="00885489" w:rsidRPr="00683D55">
        <w:t>assessment</w:t>
      </w:r>
      <w:r w:rsidR="00AE7310" w:rsidRPr="00683D55">
        <w:t xml:space="preserve"> discussions </w:t>
      </w:r>
      <w:r w:rsidR="00A36591" w:rsidRPr="00683D55">
        <w:t>to identify possible risk</w:t>
      </w:r>
      <w:r w:rsidR="009812A5" w:rsidRPr="00683D55">
        <w:t>s</w:t>
      </w:r>
      <w:r w:rsidR="00A36591" w:rsidRPr="00683D55">
        <w:t xml:space="preserve"> and </w:t>
      </w:r>
      <w:r w:rsidR="00D572EF" w:rsidRPr="00683D55">
        <w:t>discuss how</w:t>
      </w:r>
      <w:r w:rsidR="00A36591" w:rsidRPr="00683D55">
        <w:t xml:space="preserve"> to manage them.</w:t>
      </w:r>
      <w:r w:rsidR="005B14B3" w:rsidRPr="00683D55">
        <w:t xml:space="preserve"> </w:t>
      </w:r>
    </w:p>
    <w:p w14:paraId="7918B6A2" w14:textId="2BFB5FE9" w:rsidR="005B14B3" w:rsidRPr="00683D55" w:rsidRDefault="00416C1A" w:rsidP="00D83541">
      <w:pPr>
        <w:pStyle w:val="ListParagraph"/>
        <w:numPr>
          <w:ilvl w:val="0"/>
          <w:numId w:val="13"/>
        </w:numPr>
      </w:pPr>
      <w:r w:rsidRPr="00D83541">
        <w:t xml:space="preserve">Developers/operators </w:t>
      </w:r>
      <w:r w:rsidR="006C7C85" w:rsidRPr="00D83541">
        <w:t>should</w:t>
      </w:r>
      <w:r w:rsidRPr="00D83541">
        <w:t xml:space="preserve"> </w:t>
      </w:r>
      <w:r w:rsidR="006C7C85" w:rsidRPr="00D83541">
        <w:t>contribute</w:t>
      </w:r>
      <w:r w:rsidRPr="00D83541">
        <w:t xml:space="preserve"> toward the financial costs of </w:t>
      </w:r>
      <w:r w:rsidR="55C0A003" w:rsidRPr="00D83541">
        <w:t xml:space="preserve">appropriate </w:t>
      </w:r>
      <w:r w:rsidRPr="00D83541">
        <w:t>risk mitigation</w:t>
      </w:r>
      <w:r w:rsidR="445F7EAE" w:rsidRPr="00D83541">
        <w:t xml:space="preserve"> measures</w:t>
      </w:r>
      <w:r w:rsidRPr="00D83541">
        <w:t>, which may include providing fire extinguishers for farming</w:t>
      </w:r>
      <w:r w:rsidR="007C20C1">
        <w:t xml:space="preserve"> </w:t>
      </w:r>
      <w:r w:rsidRPr="00D83541">
        <w:t>equipment. Landholders, in turn, should take reasonable steps within their ability to support these measures</w:t>
      </w:r>
      <w:r w:rsidR="004F54A5" w:rsidRPr="00D83541">
        <w:t>.</w:t>
      </w:r>
    </w:p>
    <w:p w14:paraId="208C9938" w14:textId="4686D0B9" w:rsidR="00155E5F" w:rsidRDefault="00155E5F" w:rsidP="5259AC3E">
      <w:pPr>
        <w:spacing w:after="160" w:line="279" w:lineRule="auto"/>
        <w:rPr>
          <w:rFonts w:asciiTheme="minorHAnsi" w:eastAsiaTheme="minorEastAsia" w:hAnsiTheme="minorHAnsi"/>
          <w:b/>
          <w:sz w:val="24"/>
          <w:szCs w:val="24"/>
        </w:rPr>
      </w:pPr>
      <w:r w:rsidRPr="520E8AAB">
        <w:rPr>
          <w:rFonts w:asciiTheme="minorHAnsi" w:eastAsiaTheme="minorEastAsia" w:hAnsiTheme="minorHAnsi"/>
          <w:b/>
          <w:sz w:val="24"/>
          <w:szCs w:val="24"/>
        </w:rPr>
        <w:t>Adaptability</w:t>
      </w:r>
      <w:r w:rsidR="0068409E" w:rsidRPr="520E8AAB">
        <w:rPr>
          <w:rFonts w:asciiTheme="minorHAnsi" w:eastAsiaTheme="minorEastAsia" w:hAnsiTheme="minorHAnsi"/>
          <w:b/>
          <w:sz w:val="24"/>
          <w:szCs w:val="24"/>
        </w:rPr>
        <w:t xml:space="preserve"> - Implementation Pathway</w:t>
      </w:r>
    </w:p>
    <w:p w14:paraId="098462C6" w14:textId="5DB49D85" w:rsidR="005B14B3" w:rsidRPr="0067767D" w:rsidRDefault="36255C91" w:rsidP="009E0E69">
      <w:pPr>
        <w:pStyle w:val="ListParagraph"/>
        <w:numPr>
          <w:ilvl w:val="0"/>
          <w:numId w:val="12"/>
        </w:numPr>
      </w:pPr>
      <w:r w:rsidRPr="0E586599">
        <w:t>A</w:t>
      </w:r>
      <w:r w:rsidR="005B14B3" w:rsidRPr="0E586599">
        <w:t xml:space="preserve"> </w:t>
      </w:r>
      <w:r w:rsidR="005B14B3" w:rsidRPr="0067767D">
        <w:t>national approach should begin as voluntary best practice for developers</w:t>
      </w:r>
      <w:r w:rsidR="005B14B3" w:rsidRPr="005B14B3">
        <w:t>/</w:t>
      </w:r>
      <w:r w:rsidR="005B14B3" w:rsidRPr="0067767D">
        <w:t xml:space="preserve">operators, included in their discussions with neighbours and made </w:t>
      </w:r>
      <w:r w:rsidR="7E467313" w:rsidRPr="5259AC3E">
        <w:t xml:space="preserve">publicly </w:t>
      </w:r>
      <w:r w:rsidR="00A81710" w:rsidRPr="0067767D">
        <w:t>available.</w:t>
      </w:r>
      <w:r w:rsidR="005B14B3" w:rsidRPr="0067767D">
        <w:t xml:space="preserve"> </w:t>
      </w:r>
    </w:p>
    <w:p w14:paraId="7A38A6CC" w14:textId="56A8A3CC" w:rsidR="06946D80" w:rsidRDefault="006F6915" w:rsidP="59801163">
      <w:pPr>
        <w:pStyle w:val="ListParagraph"/>
        <w:numPr>
          <w:ilvl w:val="0"/>
          <w:numId w:val="12"/>
        </w:numPr>
      </w:pPr>
      <w:r w:rsidRPr="006F6915">
        <w:rPr>
          <w:lang w:val="en-AU"/>
        </w:rPr>
        <w:t>It should be incorporated into industry Guidelines and Codes wherever possible to ensure awareness and demonstrate that concerns have been addressed</w:t>
      </w:r>
      <w:r w:rsidR="00F2770C">
        <w:rPr>
          <w:lang w:val="en-AU"/>
        </w:rPr>
        <w:t>.</w:t>
      </w:r>
    </w:p>
    <w:p w14:paraId="303BEE0A" w14:textId="35256768" w:rsidR="00BC233B" w:rsidRPr="0067767D" w:rsidRDefault="63136F4D" w:rsidP="009E0E69">
      <w:pPr>
        <w:pStyle w:val="ListParagraph"/>
        <w:numPr>
          <w:ilvl w:val="0"/>
          <w:numId w:val="12"/>
        </w:numPr>
      </w:pPr>
      <w:r w:rsidRPr="0E586599">
        <w:t>I</w:t>
      </w:r>
      <w:r w:rsidR="2425F592" w:rsidRPr="0E586599">
        <w:t>nformation</w:t>
      </w:r>
      <w:r w:rsidR="00BC233B" w:rsidRPr="0E586599">
        <w:t xml:space="preserve"> sharing should be </w:t>
      </w:r>
      <w:r w:rsidR="40B7B91E" w:rsidRPr="0E586599">
        <w:t>undertaken</w:t>
      </w:r>
      <w:r w:rsidR="00BC233B" w:rsidRPr="0E586599">
        <w:t xml:space="preserve"> by national and state farming bodies, ensuring they actively communicate the existence of a nationally consistent approach </w:t>
      </w:r>
      <w:r w:rsidR="7CBC01B2" w:rsidRPr="0E586599">
        <w:t>aimed at</w:t>
      </w:r>
      <w:r w:rsidR="00BC233B" w:rsidRPr="0E586599">
        <w:t xml:space="preserve"> resolving </w:t>
      </w:r>
      <w:r w:rsidR="00E93DFB" w:rsidRPr="00E93DFB">
        <w:t xml:space="preserve">landholder and neighbour </w:t>
      </w:r>
      <w:r w:rsidR="00BC233B" w:rsidRPr="0E586599">
        <w:t xml:space="preserve">insurance issues. </w:t>
      </w:r>
    </w:p>
    <w:p w14:paraId="4835C105" w14:textId="2EAA3081" w:rsidR="005B14B3" w:rsidRDefault="2B5FA391" w:rsidP="009E0E69">
      <w:pPr>
        <w:pStyle w:val="ListParagraph"/>
        <w:numPr>
          <w:ilvl w:val="0"/>
          <w:numId w:val="12"/>
        </w:numPr>
      </w:pPr>
      <w:r w:rsidRPr="0E586599">
        <w:t>W</w:t>
      </w:r>
      <w:r w:rsidR="3B4DCF29" w:rsidRPr="0E586599">
        <w:t xml:space="preserve">here </w:t>
      </w:r>
      <w:r w:rsidR="74DFE6DE" w:rsidRPr="0E586599">
        <w:t>appropriate F</w:t>
      </w:r>
      <w:r w:rsidR="3B4DCF29" w:rsidRPr="0E586599">
        <w:t xml:space="preserve">ederal and </w:t>
      </w:r>
      <w:r w:rsidR="50A84C7A" w:rsidRPr="0E586599">
        <w:t>S</w:t>
      </w:r>
      <w:r w:rsidR="3B4DCF29" w:rsidRPr="0E586599">
        <w:t>tate government</w:t>
      </w:r>
      <w:r w:rsidR="725C988E" w:rsidRPr="0E586599">
        <w:t xml:space="preserve"> c</w:t>
      </w:r>
      <w:r w:rsidR="3B4DCF29" w:rsidRPr="0E586599">
        <w:t>ould incorporate</w:t>
      </w:r>
      <w:r w:rsidR="6FC43537" w:rsidRPr="0E586599">
        <w:t xml:space="preserve"> or reference the approach</w:t>
      </w:r>
      <w:r w:rsidR="3B4DCF29" w:rsidRPr="0E586599">
        <w:t xml:space="preserve"> in</w:t>
      </w:r>
      <w:r w:rsidR="034BDB9E" w:rsidRPr="0E586599">
        <w:t xml:space="preserve"> relevant</w:t>
      </w:r>
      <w:r w:rsidR="3B4DCF29" w:rsidRPr="0E586599">
        <w:t xml:space="preserve"> guidelines and legislation to better s</w:t>
      </w:r>
      <w:r w:rsidR="78F864B8" w:rsidRPr="0E586599">
        <w:t>upport</w:t>
      </w:r>
      <w:r w:rsidR="3B4DCF29" w:rsidRPr="0E586599">
        <w:t xml:space="preserve"> </w:t>
      </w:r>
      <w:r w:rsidR="2E4CFC30" w:rsidRPr="0E586599">
        <w:t xml:space="preserve">the energy transition. </w:t>
      </w:r>
    </w:p>
    <w:p w14:paraId="484261AB" w14:textId="749C8A4E" w:rsidR="00AC6427" w:rsidRPr="0067767D" w:rsidRDefault="2E4CFC30" w:rsidP="00AC6427">
      <w:pPr>
        <w:pStyle w:val="ListParagraph"/>
        <w:numPr>
          <w:ilvl w:val="0"/>
          <w:numId w:val="12"/>
        </w:numPr>
      </w:pPr>
      <w:r w:rsidRPr="0E586599">
        <w:t>A</w:t>
      </w:r>
      <w:r w:rsidR="005B14B3" w:rsidRPr="0E586599">
        <w:t xml:space="preserve"> national approach should apply to all new developments and, where possible</w:t>
      </w:r>
      <w:r w:rsidR="005B14B3" w:rsidRPr="005B14B3">
        <w:t>,</w:t>
      </w:r>
      <w:r w:rsidR="00787B35">
        <w:t xml:space="preserve"> </w:t>
      </w:r>
      <w:r w:rsidR="005B14B3" w:rsidRPr="0067767D">
        <w:t>acknowledging existing agreements and conditions</w:t>
      </w:r>
      <w:r w:rsidR="005B14B3" w:rsidRPr="005B14B3">
        <w:t xml:space="preserve">, </w:t>
      </w:r>
      <w:r w:rsidR="005B14B3" w:rsidRPr="0067767D">
        <w:t>should also extend to pre-existing developments.</w:t>
      </w:r>
    </w:p>
    <w:p w14:paraId="634FC0EE" w14:textId="614B4ADD" w:rsidR="00D016B4" w:rsidRPr="0068409E" w:rsidRDefault="00D21CB5" w:rsidP="5259AC3E">
      <w:pPr>
        <w:rPr>
          <w:rFonts w:asciiTheme="minorHAnsi" w:eastAsiaTheme="minorEastAsia" w:hAnsiTheme="minorHAnsi"/>
          <w:b/>
          <w:sz w:val="24"/>
          <w:szCs w:val="24"/>
        </w:rPr>
      </w:pPr>
      <w:r w:rsidRPr="520E8AAB">
        <w:rPr>
          <w:rFonts w:asciiTheme="minorHAnsi" w:eastAsiaTheme="minorEastAsia" w:hAnsiTheme="minorHAnsi"/>
          <w:b/>
          <w:sz w:val="24"/>
          <w:szCs w:val="24"/>
        </w:rPr>
        <w:t>Coordination</w:t>
      </w:r>
      <w:r w:rsidR="00D016B4" w:rsidRPr="520E8AAB">
        <w:rPr>
          <w:rFonts w:asciiTheme="minorHAnsi" w:eastAsiaTheme="minorEastAsia" w:hAnsiTheme="minorHAnsi"/>
          <w:b/>
          <w:sz w:val="24"/>
          <w:szCs w:val="24"/>
        </w:rPr>
        <w:t xml:space="preserve"> and Communication</w:t>
      </w:r>
      <w:r w:rsidR="0068409E" w:rsidRPr="520E8AAB">
        <w:rPr>
          <w:rFonts w:asciiTheme="minorHAnsi" w:eastAsiaTheme="minorEastAsia" w:hAnsiTheme="minorHAnsi"/>
          <w:b/>
          <w:sz w:val="24"/>
          <w:szCs w:val="24"/>
        </w:rPr>
        <w:t xml:space="preserve"> -</w:t>
      </w:r>
      <w:r w:rsidR="0068409E" w:rsidRPr="6EF27244">
        <w:rPr>
          <w:rFonts w:asciiTheme="minorHAnsi" w:eastAsiaTheme="minorEastAsia" w:hAnsiTheme="minorHAnsi"/>
          <w:sz w:val="24"/>
          <w:szCs w:val="24"/>
        </w:rPr>
        <w:t xml:space="preserve"> </w:t>
      </w:r>
      <w:r w:rsidR="0068409E" w:rsidRPr="520E8AAB">
        <w:rPr>
          <w:rFonts w:asciiTheme="minorHAnsi" w:eastAsiaTheme="minorEastAsia" w:hAnsiTheme="minorHAnsi"/>
          <w:b/>
          <w:sz w:val="24"/>
          <w:szCs w:val="24"/>
        </w:rPr>
        <w:t>Industry Collaboration</w:t>
      </w:r>
    </w:p>
    <w:p w14:paraId="52D30DAC" w14:textId="57E3B89E" w:rsidR="0E586599" w:rsidRPr="00683D55" w:rsidRDefault="043E04A5" w:rsidP="0E586599">
      <w:pPr>
        <w:pStyle w:val="ListParagraph"/>
        <w:numPr>
          <w:ilvl w:val="0"/>
          <w:numId w:val="11"/>
        </w:numPr>
      </w:pPr>
      <w:r w:rsidRPr="0E586599">
        <w:t xml:space="preserve">The industry should work collaboratively to establish or develop </w:t>
      </w:r>
      <w:r w:rsidR="00E8398E">
        <w:t xml:space="preserve">an </w:t>
      </w:r>
      <w:r w:rsidRPr="0E586599">
        <w:t xml:space="preserve">insurance product or policy that supports this </w:t>
      </w:r>
      <w:r w:rsidRPr="00683D55">
        <w:t>national approach</w:t>
      </w:r>
      <w:r w:rsidR="00656576" w:rsidRPr="00683D55">
        <w:t xml:space="preserve"> and communicate these products to developers/operators through established channels</w:t>
      </w:r>
      <w:r w:rsidR="00E8398E" w:rsidRPr="00683D55">
        <w:t>.</w:t>
      </w:r>
    </w:p>
    <w:p w14:paraId="6FD263E3" w14:textId="0AFE5F42" w:rsidR="006E1EF6" w:rsidRPr="0080517C" w:rsidRDefault="006E1EF6" w:rsidP="006E1EF6">
      <w:pPr>
        <w:pStyle w:val="Heading2"/>
        <w:spacing w:before="360"/>
        <w:rPr>
          <w:rFonts w:asciiTheme="minorHAnsi" w:hAnsiTheme="minorHAnsi"/>
          <w:sz w:val="24"/>
          <w:szCs w:val="24"/>
        </w:rPr>
      </w:pPr>
      <w:r w:rsidRPr="0E586599">
        <w:rPr>
          <w:rFonts w:asciiTheme="minorHAnsi" w:hAnsiTheme="minorHAnsi"/>
          <w:sz w:val="24"/>
          <w:szCs w:val="24"/>
        </w:rPr>
        <w:t>More information</w:t>
      </w:r>
    </w:p>
    <w:p w14:paraId="754F015C" w14:textId="77777777" w:rsidR="006E1EF6" w:rsidRPr="005B14B3" w:rsidRDefault="006E1EF6" w:rsidP="006E1EF6">
      <w:pPr>
        <w:rPr>
          <w:rFonts w:asciiTheme="minorHAnsi" w:eastAsiaTheme="minorEastAsia" w:hAnsiTheme="minorHAnsi"/>
          <w:sz w:val="24"/>
          <w:szCs w:val="24"/>
          <w:lang w:eastAsia="ja-JP"/>
        </w:rPr>
      </w:pPr>
      <w:r w:rsidRPr="6EF27244">
        <w:rPr>
          <w:rFonts w:asciiTheme="minorHAnsi" w:eastAsiaTheme="minorEastAsia" w:hAnsiTheme="minorHAnsi"/>
          <w:sz w:val="24"/>
          <w:szCs w:val="24"/>
          <w:lang w:eastAsia="ja-JP"/>
        </w:rPr>
        <w:t>Learn more about the Australian Energy Infrastructure Commissioner.</w:t>
      </w:r>
    </w:p>
    <w:p w14:paraId="72F41709" w14:textId="77777777" w:rsidR="006E1EF6" w:rsidRPr="005B14B3" w:rsidRDefault="006E1EF6" w:rsidP="006E1EF6">
      <w:pPr>
        <w:rPr>
          <w:rFonts w:asciiTheme="minorHAnsi" w:eastAsiaTheme="minorEastAsia" w:hAnsiTheme="minorHAnsi"/>
          <w:sz w:val="24"/>
          <w:szCs w:val="24"/>
          <w:lang w:eastAsia="ja-JP"/>
        </w:rPr>
      </w:pPr>
      <w:r w:rsidRPr="6EF27244">
        <w:rPr>
          <w:rFonts w:asciiTheme="minorHAnsi" w:eastAsiaTheme="minorEastAsia" w:hAnsiTheme="minorHAnsi"/>
          <w:sz w:val="24"/>
          <w:szCs w:val="24"/>
          <w:lang w:eastAsia="ja-JP"/>
        </w:rPr>
        <w:t xml:space="preserve">Web </w:t>
      </w:r>
      <w:hyperlink r:id="rId7">
        <w:r w:rsidRPr="6EF27244">
          <w:rPr>
            <w:rStyle w:val="Hyperlink"/>
            <w:rFonts w:asciiTheme="minorHAnsi" w:eastAsiaTheme="minorEastAsia" w:hAnsiTheme="minorHAnsi"/>
            <w:sz w:val="24"/>
            <w:szCs w:val="24"/>
            <w:lang w:eastAsia="ja-JP"/>
          </w:rPr>
          <w:t>www.aeic.gov.au</w:t>
        </w:r>
      </w:hyperlink>
      <w:r w:rsidRPr="6EF27244">
        <w:rPr>
          <w:rFonts w:asciiTheme="minorHAnsi" w:eastAsiaTheme="minorEastAsia" w:hAnsiTheme="minorHAnsi"/>
          <w:sz w:val="24"/>
          <w:szCs w:val="24"/>
          <w:lang w:eastAsia="ja-JP"/>
        </w:rPr>
        <w:t xml:space="preserve"> </w:t>
      </w:r>
    </w:p>
    <w:p w14:paraId="5A5F62E1" w14:textId="5017D712" w:rsidR="00103D25" w:rsidRPr="005B14B3" w:rsidRDefault="006E1EF6" w:rsidP="00203059">
      <w:pPr>
        <w:rPr>
          <w:rFonts w:asciiTheme="minorHAnsi" w:eastAsiaTheme="minorEastAsia" w:hAnsiTheme="minorHAnsi"/>
          <w:sz w:val="24"/>
          <w:szCs w:val="24"/>
          <w:lang w:eastAsia="ja-JP"/>
        </w:rPr>
      </w:pPr>
      <w:r w:rsidRPr="6EF27244">
        <w:rPr>
          <w:rFonts w:asciiTheme="minorHAnsi" w:eastAsiaTheme="minorEastAsia" w:hAnsiTheme="minorHAnsi"/>
          <w:sz w:val="24"/>
          <w:szCs w:val="24"/>
          <w:lang w:eastAsia="ja-JP"/>
        </w:rPr>
        <w:t xml:space="preserve">Email </w:t>
      </w:r>
      <w:hyperlink r:id="rId8">
        <w:r w:rsidR="007C52F2" w:rsidRPr="6EF27244">
          <w:rPr>
            <w:rStyle w:val="Hyperlink"/>
            <w:rFonts w:asciiTheme="minorHAnsi" w:eastAsiaTheme="minorEastAsia" w:hAnsiTheme="minorHAnsi"/>
            <w:sz w:val="24"/>
            <w:szCs w:val="24"/>
            <w:lang w:eastAsia="ja-JP"/>
          </w:rPr>
          <w:t>aeic@aeic.gov.au</w:t>
        </w:r>
      </w:hyperlink>
    </w:p>
    <w:p w14:paraId="56490B84" w14:textId="55BCFBA9" w:rsidR="00CA7AE3" w:rsidRDefault="00CA7AE3">
      <w:pPr>
        <w:spacing w:after="0" w:line="240" w:lineRule="auto"/>
        <w:rPr>
          <w:rFonts w:asciiTheme="minorHAnsi" w:hAnsiTheme="minorHAnsi"/>
          <w:sz w:val="20"/>
          <w:szCs w:val="20"/>
        </w:rPr>
      </w:pPr>
    </w:p>
    <w:p w14:paraId="3DBCC232" w14:textId="77777777" w:rsidR="00D11917" w:rsidRDefault="00D11917">
      <w:pPr>
        <w:spacing w:after="0" w:line="240" w:lineRule="auto"/>
        <w:rPr>
          <w:rFonts w:asciiTheme="minorHAnsi" w:hAnsiTheme="minorHAnsi"/>
          <w:sz w:val="20"/>
          <w:szCs w:val="20"/>
        </w:rPr>
      </w:pPr>
    </w:p>
    <w:p w14:paraId="067C9E3B" w14:textId="77777777" w:rsidR="00D11917" w:rsidRDefault="00D11917">
      <w:pPr>
        <w:spacing w:after="0" w:line="240" w:lineRule="auto"/>
        <w:rPr>
          <w:rFonts w:asciiTheme="minorHAnsi" w:hAnsiTheme="minorHAnsi"/>
          <w:sz w:val="20"/>
          <w:szCs w:val="20"/>
        </w:rPr>
      </w:pPr>
    </w:p>
    <w:p w14:paraId="2152D16B" w14:textId="77777777" w:rsidR="00D11917" w:rsidRDefault="00D11917">
      <w:pPr>
        <w:spacing w:after="0" w:line="240" w:lineRule="auto"/>
        <w:rPr>
          <w:rFonts w:asciiTheme="minorHAnsi" w:hAnsiTheme="minorHAnsi"/>
          <w:sz w:val="20"/>
          <w:szCs w:val="20"/>
        </w:rPr>
      </w:pPr>
    </w:p>
    <w:p w14:paraId="5709F4A7" w14:textId="77777777" w:rsidR="00D11917" w:rsidRDefault="00D11917">
      <w:pPr>
        <w:spacing w:after="0" w:line="240" w:lineRule="auto"/>
        <w:rPr>
          <w:rFonts w:asciiTheme="minorHAnsi" w:hAnsiTheme="minorHAnsi"/>
          <w:sz w:val="20"/>
          <w:szCs w:val="20"/>
        </w:rPr>
      </w:pPr>
    </w:p>
    <w:p w14:paraId="69F7DE66" w14:textId="77777777" w:rsidR="009B34BA" w:rsidRDefault="009B34BA">
      <w:pPr>
        <w:spacing w:after="0" w:line="240" w:lineRule="auto"/>
        <w:rPr>
          <w:rFonts w:asciiTheme="minorHAnsi" w:eastAsiaTheme="minorEastAsia" w:hAnsiTheme="minorHAnsi"/>
          <w:bCs/>
          <w:color w:val="8A290A"/>
          <w:sz w:val="20"/>
          <w:szCs w:val="20"/>
          <w:lang w:eastAsia="ja-JP"/>
        </w:rPr>
      </w:pPr>
    </w:p>
    <w:p w14:paraId="6B162313" w14:textId="77777777" w:rsidR="000935B2" w:rsidRDefault="000935B2">
      <w:pPr>
        <w:spacing w:after="0" w:line="240" w:lineRule="auto"/>
        <w:rPr>
          <w:rFonts w:asciiTheme="minorHAnsi" w:eastAsiaTheme="minorEastAsia" w:hAnsiTheme="minorHAnsi"/>
          <w:bCs/>
          <w:color w:val="8A290A"/>
          <w:sz w:val="20"/>
          <w:szCs w:val="20"/>
          <w:lang w:eastAsia="ja-JP"/>
        </w:rPr>
      </w:pPr>
    </w:p>
    <w:p w14:paraId="7502B416" w14:textId="77777777" w:rsidR="000F6A99" w:rsidRDefault="000F6A99">
      <w:pPr>
        <w:spacing w:after="0" w:line="240" w:lineRule="auto"/>
        <w:rPr>
          <w:rFonts w:asciiTheme="minorHAnsi" w:eastAsiaTheme="minorEastAsia" w:hAnsiTheme="minorHAnsi"/>
          <w:bCs/>
          <w:color w:val="8A290A"/>
          <w:sz w:val="20"/>
          <w:szCs w:val="20"/>
          <w:lang w:eastAsia="ja-JP"/>
        </w:rPr>
      </w:pPr>
    </w:p>
    <w:p w14:paraId="0A59ACB6" w14:textId="77777777" w:rsidR="007C20C1" w:rsidRDefault="007C20C1">
      <w:pPr>
        <w:spacing w:after="0" w:line="240" w:lineRule="auto"/>
        <w:rPr>
          <w:rFonts w:asciiTheme="minorHAnsi" w:eastAsiaTheme="minorEastAsia" w:hAnsiTheme="minorHAnsi"/>
          <w:bCs/>
          <w:color w:val="8A290A"/>
          <w:sz w:val="20"/>
          <w:szCs w:val="20"/>
          <w:lang w:eastAsia="ja-JP"/>
        </w:rPr>
      </w:pPr>
    </w:p>
    <w:p w14:paraId="01A22A13" w14:textId="77777777" w:rsidR="000F6A99" w:rsidRDefault="000F6A99">
      <w:pPr>
        <w:spacing w:after="0" w:line="240" w:lineRule="auto"/>
        <w:rPr>
          <w:rFonts w:asciiTheme="minorHAnsi" w:eastAsiaTheme="minorEastAsia" w:hAnsiTheme="minorHAnsi"/>
          <w:bCs/>
          <w:color w:val="8A290A"/>
          <w:sz w:val="20"/>
          <w:szCs w:val="20"/>
          <w:lang w:eastAsia="ja-JP"/>
        </w:rPr>
      </w:pPr>
    </w:p>
    <w:p w14:paraId="16F5045F" w14:textId="77777777" w:rsidR="000F6A99" w:rsidRDefault="000F6A99">
      <w:pPr>
        <w:spacing w:after="0" w:line="240" w:lineRule="auto"/>
        <w:rPr>
          <w:rFonts w:asciiTheme="minorHAnsi" w:eastAsiaTheme="minorEastAsia" w:hAnsiTheme="minorHAnsi"/>
          <w:bCs/>
          <w:color w:val="8A290A"/>
          <w:sz w:val="20"/>
          <w:szCs w:val="20"/>
          <w:lang w:eastAsia="ja-JP"/>
        </w:rPr>
      </w:pPr>
    </w:p>
    <w:p w14:paraId="73DFE808" w14:textId="77777777" w:rsidR="00923E50" w:rsidRDefault="00923E50">
      <w:pPr>
        <w:spacing w:after="0" w:line="240" w:lineRule="auto"/>
        <w:rPr>
          <w:rFonts w:asciiTheme="minorHAnsi" w:eastAsiaTheme="minorEastAsia" w:hAnsiTheme="minorHAnsi"/>
          <w:bCs/>
          <w:color w:val="8A290A"/>
          <w:sz w:val="20"/>
          <w:szCs w:val="20"/>
          <w:lang w:eastAsia="ja-JP"/>
        </w:rPr>
      </w:pPr>
    </w:p>
    <w:p w14:paraId="499CC9AA" w14:textId="6D0E3D0D" w:rsidR="007C52F2" w:rsidRPr="00683D55" w:rsidRDefault="00800B3E" w:rsidP="007C52F2">
      <w:pPr>
        <w:pStyle w:val="Heading2"/>
        <w:spacing w:before="360"/>
        <w:rPr>
          <w:rFonts w:asciiTheme="minorHAnsi" w:hAnsiTheme="minorHAnsi"/>
          <w:sz w:val="24"/>
          <w:szCs w:val="24"/>
        </w:rPr>
      </w:pPr>
      <w:r w:rsidRPr="00683D55">
        <w:rPr>
          <w:rFonts w:asciiTheme="minorHAnsi" w:hAnsiTheme="minorHAnsi"/>
          <w:sz w:val="24"/>
          <w:szCs w:val="24"/>
        </w:rPr>
        <w:t>Definitions</w:t>
      </w:r>
    </w:p>
    <w:tbl>
      <w:tblPr>
        <w:tblStyle w:val="TableGrid"/>
        <w:tblW w:w="0" w:type="auto"/>
        <w:tblLook w:val="04A0" w:firstRow="1" w:lastRow="0" w:firstColumn="1" w:lastColumn="0" w:noHBand="0" w:noVBand="1"/>
      </w:tblPr>
      <w:tblGrid>
        <w:gridCol w:w="2689"/>
        <w:gridCol w:w="6713"/>
      </w:tblGrid>
      <w:tr w:rsidR="00CF3713" w:rsidRPr="00683D55" w14:paraId="49EA655D" w14:textId="77777777" w:rsidTr="34FB3F65">
        <w:tc>
          <w:tcPr>
            <w:tcW w:w="2689" w:type="dxa"/>
          </w:tcPr>
          <w:p w14:paraId="325076F5" w14:textId="4FFAF8D2"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AEIC (Australian Energy Infrastructure Commissioner)</w:t>
            </w:r>
          </w:p>
        </w:tc>
        <w:tc>
          <w:tcPr>
            <w:tcW w:w="6713" w:type="dxa"/>
          </w:tcPr>
          <w:p w14:paraId="53F06F4B" w14:textId="3800AD60"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sz w:val="24"/>
                <w:szCs w:val="24"/>
              </w:rPr>
              <w:t>An independent office that listens to community concerns about energy projects and works to find fair solutions</w:t>
            </w:r>
            <w:r w:rsidR="00EF3119">
              <w:rPr>
                <w:rFonts w:asciiTheme="minorHAnsi" w:eastAsiaTheme="minorEastAsia" w:hAnsiTheme="minorHAnsi"/>
                <w:sz w:val="24"/>
                <w:szCs w:val="24"/>
              </w:rPr>
              <w:t>.</w:t>
            </w:r>
          </w:p>
        </w:tc>
      </w:tr>
      <w:tr w:rsidR="00CF3713" w:rsidRPr="00683D55" w14:paraId="12FCC142" w14:textId="77777777" w:rsidTr="34FB3F65">
        <w:tc>
          <w:tcPr>
            <w:tcW w:w="2689" w:type="dxa"/>
          </w:tcPr>
          <w:p w14:paraId="403F87D0" w14:textId="2303F56D"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Public Liability Insurance</w:t>
            </w:r>
          </w:p>
        </w:tc>
        <w:tc>
          <w:tcPr>
            <w:tcW w:w="6713" w:type="dxa"/>
          </w:tcPr>
          <w:p w14:paraId="604A0709" w14:textId="0D081006"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sz w:val="24"/>
                <w:szCs w:val="24"/>
              </w:rPr>
              <w:t>Insurance that covers the cost if someone is held responsible for damage or injury to other people or their property</w:t>
            </w:r>
            <w:r w:rsidR="00EF3119">
              <w:rPr>
                <w:rFonts w:asciiTheme="minorHAnsi" w:eastAsiaTheme="minorEastAsia" w:hAnsiTheme="minorHAnsi"/>
                <w:sz w:val="24"/>
                <w:szCs w:val="24"/>
              </w:rPr>
              <w:t>.</w:t>
            </w:r>
          </w:p>
        </w:tc>
      </w:tr>
      <w:tr w:rsidR="00CF3713" w:rsidRPr="00683D55" w14:paraId="353BFAAA" w14:textId="77777777" w:rsidTr="34FB3F65">
        <w:tc>
          <w:tcPr>
            <w:tcW w:w="2689" w:type="dxa"/>
          </w:tcPr>
          <w:p w14:paraId="058EC46A" w14:textId="2AA03D5C"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Landholder</w:t>
            </w:r>
          </w:p>
        </w:tc>
        <w:tc>
          <w:tcPr>
            <w:tcW w:w="6713" w:type="dxa"/>
          </w:tcPr>
          <w:p w14:paraId="5111DC44" w14:textId="2479DFEF" w:rsidR="00CF3713" w:rsidRPr="00683D55" w:rsidRDefault="00446B81" w:rsidP="00C956B1">
            <w:pPr>
              <w:rPr>
                <w:rFonts w:asciiTheme="minorHAnsi" w:eastAsiaTheme="minorEastAsia" w:hAnsiTheme="minorHAnsi"/>
                <w:b/>
                <w:sz w:val="24"/>
                <w:szCs w:val="24"/>
              </w:rPr>
            </w:pPr>
            <w:r w:rsidRPr="00683D55">
              <w:rPr>
                <w:rFonts w:asciiTheme="minorHAnsi" w:eastAsiaTheme="minorEastAsia" w:hAnsiTheme="minorHAnsi"/>
                <w:sz w:val="24"/>
                <w:szCs w:val="24"/>
              </w:rPr>
              <w:t>A person who has possession or occupation of private land, by title, a lease, beneficial interest or other contractual arrangement</w:t>
            </w:r>
            <w:r w:rsidR="00071CEF" w:rsidRPr="00683D55">
              <w:rPr>
                <w:rFonts w:asciiTheme="minorHAnsi" w:eastAsiaTheme="minorEastAsia" w:hAnsiTheme="minorHAnsi"/>
                <w:sz w:val="24"/>
                <w:szCs w:val="24"/>
              </w:rPr>
              <w:t>.</w:t>
            </w:r>
          </w:p>
        </w:tc>
      </w:tr>
      <w:tr w:rsidR="00CF3713" w:rsidRPr="00683D55" w14:paraId="26EBDF78" w14:textId="77777777" w:rsidTr="34FB3F65">
        <w:tc>
          <w:tcPr>
            <w:tcW w:w="2689" w:type="dxa"/>
          </w:tcPr>
          <w:p w14:paraId="590C1D0E" w14:textId="7705F259"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Renewable Energy Infrastructure</w:t>
            </w:r>
          </w:p>
        </w:tc>
        <w:tc>
          <w:tcPr>
            <w:tcW w:w="6713" w:type="dxa"/>
          </w:tcPr>
          <w:p w14:paraId="40C37EFF" w14:textId="33C82615"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sz w:val="24"/>
                <w:szCs w:val="24"/>
              </w:rPr>
              <w:t>Equipment and structures used to make</w:t>
            </w:r>
            <w:r w:rsidR="006045F2" w:rsidRPr="00683D55">
              <w:rPr>
                <w:rFonts w:asciiTheme="minorHAnsi" w:eastAsiaTheme="minorEastAsia" w:hAnsiTheme="minorHAnsi"/>
                <w:sz w:val="24"/>
                <w:szCs w:val="24"/>
              </w:rPr>
              <w:t xml:space="preserve"> or store</w:t>
            </w:r>
            <w:r w:rsidRPr="00683D55">
              <w:rPr>
                <w:rFonts w:asciiTheme="minorHAnsi" w:eastAsiaTheme="minorEastAsia" w:hAnsiTheme="minorHAnsi"/>
                <w:sz w:val="24"/>
                <w:szCs w:val="24"/>
              </w:rPr>
              <w:t xml:space="preserve"> clean energy, like wind turbines, solar farms,</w:t>
            </w:r>
            <w:r w:rsidR="005D6EFE" w:rsidRPr="00683D55">
              <w:rPr>
                <w:rFonts w:asciiTheme="minorHAnsi" w:eastAsiaTheme="minorEastAsia" w:hAnsiTheme="minorHAnsi"/>
                <w:sz w:val="24"/>
                <w:szCs w:val="24"/>
              </w:rPr>
              <w:t xml:space="preserve"> battery energy storage systems</w:t>
            </w:r>
            <w:r w:rsidRPr="00683D55">
              <w:rPr>
                <w:rFonts w:asciiTheme="minorHAnsi" w:eastAsiaTheme="minorEastAsia" w:hAnsiTheme="minorHAnsi"/>
                <w:sz w:val="24"/>
                <w:szCs w:val="24"/>
              </w:rPr>
              <w:t xml:space="preserve"> and transmission lines.</w:t>
            </w:r>
          </w:p>
        </w:tc>
      </w:tr>
      <w:tr w:rsidR="00CF3713" w:rsidRPr="00683D55" w14:paraId="62AB5450" w14:textId="77777777" w:rsidTr="34FB3F65">
        <w:tc>
          <w:tcPr>
            <w:tcW w:w="2689" w:type="dxa"/>
          </w:tcPr>
          <w:p w14:paraId="41E8C879" w14:textId="262649EA"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Transmission Lines</w:t>
            </w:r>
          </w:p>
        </w:tc>
        <w:tc>
          <w:tcPr>
            <w:tcW w:w="6713" w:type="dxa"/>
          </w:tcPr>
          <w:p w14:paraId="1A5FA78C" w14:textId="1832B3EE"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sz w:val="24"/>
                <w:szCs w:val="24"/>
              </w:rPr>
              <w:t>Large power lines that carry electricity over long distances.</w:t>
            </w:r>
          </w:p>
        </w:tc>
      </w:tr>
      <w:tr w:rsidR="00CF3713" w:rsidRPr="00683D55" w14:paraId="6E3A2CB1" w14:textId="77777777" w:rsidTr="34FB3F65">
        <w:tc>
          <w:tcPr>
            <w:tcW w:w="2689" w:type="dxa"/>
          </w:tcPr>
          <w:p w14:paraId="61CE7294" w14:textId="7F21A3C6"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General Farm Insurance</w:t>
            </w:r>
          </w:p>
        </w:tc>
        <w:tc>
          <w:tcPr>
            <w:tcW w:w="6713" w:type="dxa"/>
          </w:tcPr>
          <w:p w14:paraId="480E78B9" w14:textId="69B8AC49"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sz w:val="24"/>
                <w:szCs w:val="24"/>
              </w:rPr>
              <w:t>Insurance that protects farms from common risks like crop loss, livestock problems, or machinery damage.</w:t>
            </w:r>
          </w:p>
        </w:tc>
      </w:tr>
      <w:tr w:rsidR="00CF3713" w:rsidRPr="00683D55" w14:paraId="0108D187" w14:textId="77777777" w:rsidTr="34FB3F65">
        <w:tc>
          <w:tcPr>
            <w:tcW w:w="2689" w:type="dxa"/>
          </w:tcPr>
          <w:p w14:paraId="06F55D4B" w14:textId="4A2F564F"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Risk</w:t>
            </w:r>
          </w:p>
        </w:tc>
        <w:tc>
          <w:tcPr>
            <w:tcW w:w="6713" w:type="dxa"/>
          </w:tcPr>
          <w:p w14:paraId="0E08C20B" w14:textId="30CEAA10" w:rsidR="00CF3713" w:rsidRPr="00683D55" w:rsidRDefault="00CF3713" w:rsidP="00C956B1">
            <w:pPr>
              <w:rPr>
                <w:rFonts w:asciiTheme="minorHAnsi" w:eastAsiaTheme="minorEastAsia" w:hAnsiTheme="minorHAnsi"/>
                <w:sz w:val="24"/>
                <w:szCs w:val="24"/>
              </w:rPr>
            </w:pPr>
            <w:r w:rsidRPr="00683D55">
              <w:rPr>
                <w:rFonts w:asciiTheme="minorHAnsi" w:eastAsiaTheme="minorEastAsia" w:hAnsiTheme="minorHAnsi"/>
                <w:sz w:val="24"/>
                <w:szCs w:val="24"/>
              </w:rPr>
              <w:t>The chance that something bad might happen, like damage or injury.</w:t>
            </w:r>
          </w:p>
        </w:tc>
      </w:tr>
      <w:tr w:rsidR="00CF3713" w:rsidRPr="00683D55" w14:paraId="50C515BA" w14:textId="77777777" w:rsidTr="34FB3F65">
        <w:tc>
          <w:tcPr>
            <w:tcW w:w="2689" w:type="dxa"/>
          </w:tcPr>
          <w:p w14:paraId="638ACB27" w14:textId="426BFEDB" w:rsidR="00CF3713" w:rsidRPr="00683D55" w:rsidRDefault="00CF371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Premium</w:t>
            </w:r>
          </w:p>
        </w:tc>
        <w:tc>
          <w:tcPr>
            <w:tcW w:w="6713" w:type="dxa"/>
          </w:tcPr>
          <w:p w14:paraId="5EA0901A" w14:textId="6B72AD48" w:rsidR="00CF3713" w:rsidRPr="00683D55" w:rsidRDefault="00CF3713" w:rsidP="00C956B1">
            <w:pPr>
              <w:rPr>
                <w:rFonts w:asciiTheme="minorHAnsi" w:eastAsiaTheme="minorEastAsia" w:hAnsiTheme="minorHAnsi"/>
                <w:sz w:val="24"/>
                <w:szCs w:val="24"/>
              </w:rPr>
            </w:pPr>
            <w:r w:rsidRPr="00683D55">
              <w:rPr>
                <w:rFonts w:asciiTheme="minorHAnsi" w:eastAsiaTheme="minorEastAsia" w:hAnsiTheme="minorHAnsi"/>
                <w:sz w:val="24"/>
                <w:szCs w:val="24"/>
              </w:rPr>
              <w:t>The amount of money paid for an insurance policy.</w:t>
            </w:r>
          </w:p>
        </w:tc>
      </w:tr>
      <w:tr w:rsidR="00CF3713" w:rsidRPr="00683D55" w14:paraId="19FD319E" w14:textId="77777777" w:rsidTr="34FB3F65">
        <w:tc>
          <w:tcPr>
            <w:tcW w:w="2689" w:type="dxa"/>
          </w:tcPr>
          <w:p w14:paraId="7EC58176" w14:textId="5388C6B4" w:rsidR="00CF3713" w:rsidRPr="00683D55" w:rsidRDefault="003F249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Reinsurance</w:t>
            </w:r>
          </w:p>
        </w:tc>
        <w:tc>
          <w:tcPr>
            <w:tcW w:w="6713" w:type="dxa"/>
          </w:tcPr>
          <w:p w14:paraId="7A048207" w14:textId="637C1B4C" w:rsidR="00CF3713" w:rsidRPr="00683D55" w:rsidRDefault="003F2493" w:rsidP="00C956B1">
            <w:pPr>
              <w:rPr>
                <w:rFonts w:asciiTheme="minorHAnsi" w:eastAsiaTheme="minorEastAsia" w:hAnsiTheme="minorHAnsi"/>
                <w:sz w:val="24"/>
                <w:szCs w:val="24"/>
              </w:rPr>
            </w:pPr>
            <w:r w:rsidRPr="00683D55">
              <w:rPr>
                <w:rFonts w:asciiTheme="minorHAnsi" w:eastAsiaTheme="minorEastAsia" w:hAnsiTheme="minorHAnsi"/>
                <w:sz w:val="24"/>
                <w:szCs w:val="24"/>
              </w:rPr>
              <w:t>Insurance for insurance companies. It helps them cover big losses.</w:t>
            </w:r>
          </w:p>
        </w:tc>
      </w:tr>
      <w:tr w:rsidR="00CF3713" w:rsidRPr="00683D55" w14:paraId="4797DB95" w14:textId="77777777" w:rsidTr="34FB3F65">
        <w:tc>
          <w:tcPr>
            <w:tcW w:w="2689" w:type="dxa"/>
          </w:tcPr>
          <w:p w14:paraId="4707E60B" w14:textId="0B2E7B8C" w:rsidR="00CF3713" w:rsidRPr="00683D55" w:rsidRDefault="003F249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Inflation</w:t>
            </w:r>
          </w:p>
        </w:tc>
        <w:tc>
          <w:tcPr>
            <w:tcW w:w="6713" w:type="dxa"/>
          </w:tcPr>
          <w:p w14:paraId="1510FBC8" w14:textId="62E2A3A3" w:rsidR="00CF3713" w:rsidRPr="00683D55" w:rsidRDefault="003F2493" w:rsidP="00C956B1">
            <w:pPr>
              <w:rPr>
                <w:rFonts w:asciiTheme="minorHAnsi" w:eastAsiaTheme="minorEastAsia" w:hAnsiTheme="minorHAnsi"/>
                <w:sz w:val="24"/>
                <w:szCs w:val="24"/>
              </w:rPr>
            </w:pPr>
            <w:r w:rsidRPr="00683D55">
              <w:rPr>
                <w:rFonts w:asciiTheme="minorHAnsi" w:eastAsiaTheme="minorEastAsia" w:hAnsiTheme="minorHAnsi"/>
                <w:sz w:val="24"/>
                <w:szCs w:val="24"/>
              </w:rPr>
              <w:t>When prices for goods and services go up over time.</w:t>
            </w:r>
          </w:p>
        </w:tc>
      </w:tr>
      <w:tr w:rsidR="00CF3713" w:rsidRPr="00683D55" w14:paraId="6F605CEB" w14:textId="77777777" w:rsidTr="34FB3F65">
        <w:tc>
          <w:tcPr>
            <w:tcW w:w="2689" w:type="dxa"/>
          </w:tcPr>
          <w:p w14:paraId="2826F47C" w14:textId="15FD8802" w:rsidR="00CF3713" w:rsidRPr="00683D55" w:rsidRDefault="003F249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Social Licence</w:t>
            </w:r>
          </w:p>
        </w:tc>
        <w:tc>
          <w:tcPr>
            <w:tcW w:w="6713" w:type="dxa"/>
          </w:tcPr>
          <w:p w14:paraId="797DEFAB" w14:textId="49391EE3" w:rsidR="00CF3713" w:rsidRPr="00683D55" w:rsidRDefault="003F2493" w:rsidP="00C956B1">
            <w:pPr>
              <w:rPr>
                <w:rFonts w:asciiTheme="minorHAnsi" w:eastAsiaTheme="minorEastAsia" w:hAnsiTheme="minorHAnsi"/>
                <w:sz w:val="24"/>
                <w:szCs w:val="24"/>
              </w:rPr>
            </w:pPr>
            <w:r w:rsidRPr="00683D55">
              <w:rPr>
                <w:rFonts w:asciiTheme="minorHAnsi" w:eastAsiaTheme="minorEastAsia" w:hAnsiTheme="minorHAnsi"/>
                <w:sz w:val="24"/>
                <w:szCs w:val="24"/>
              </w:rPr>
              <w:t xml:space="preserve">Community </w:t>
            </w:r>
            <w:r w:rsidR="00E87726" w:rsidRPr="00683D55">
              <w:rPr>
                <w:rFonts w:asciiTheme="minorHAnsi" w:eastAsiaTheme="minorEastAsia" w:hAnsiTheme="minorHAnsi"/>
                <w:sz w:val="24"/>
                <w:szCs w:val="24"/>
              </w:rPr>
              <w:t>acceptance</w:t>
            </w:r>
            <w:r w:rsidRPr="00683D55">
              <w:rPr>
                <w:rFonts w:asciiTheme="minorHAnsi" w:eastAsiaTheme="minorEastAsia" w:hAnsiTheme="minorHAnsi"/>
                <w:sz w:val="24"/>
                <w:szCs w:val="24"/>
              </w:rPr>
              <w:t xml:space="preserve"> for a project or activity. It means people trust and accept what is happening.</w:t>
            </w:r>
          </w:p>
        </w:tc>
      </w:tr>
      <w:tr w:rsidR="00CF3713" w:rsidRPr="00683D55" w14:paraId="379DD819" w14:textId="77777777" w:rsidTr="34FB3F65">
        <w:tc>
          <w:tcPr>
            <w:tcW w:w="2689" w:type="dxa"/>
          </w:tcPr>
          <w:p w14:paraId="74728776" w14:textId="70247418" w:rsidR="00CF3713" w:rsidRPr="00683D55" w:rsidRDefault="003F249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Indemnity Clause</w:t>
            </w:r>
          </w:p>
        </w:tc>
        <w:tc>
          <w:tcPr>
            <w:tcW w:w="6713" w:type="dxa"/>
          </w:tcPr>
          <w:p w14:paraId="68C3B905" w14:textId="1EB0D83C" w:rsidR="00CF3713" w:rsidRPr="00683D55" w:rsidRDefault="003F2493" w:rsidP="00C956B1">
            <w:pPr>
              <w:rPr>
                <w:rFonts w:asciiTheme="minorHAnsi" w:eastAsiaTheme="minorEastAsia" w:hAnsiTheme="minorHAnsi"/>
                <w:b/>
                <w:sz w:val="24"/>
                <w:szCs w:val="24"/>
              </w:rPr>
            </w:pPr>
            <w:r w:rsidRPr="00683D55">
              <w:rPr>
                <w:rFonts w:asciiTheme="minorHAnsi" w:eastAsiaTheme="minorEastAsia" w:hAnsiTheme="minorHAnsi"/>
                <w:sz w:val="24"/>
                <w:szCs w:val="24"/>
              </w:rPr>
              <w:t>A rule in a contract that says who will pay if something goes wrong.</w:t>
            </w:r>
          </w:p>
        </w:tc>
      </w:tr>
      <w:tr w:rsidR="00CF3713" w:rsidRPr="00683D55" w14:paraId="7EBC94BE" w14:textId="77777777" w:rsidTr="34FB3F65">
        <w:tc>
          <w:tcPr>
            <w:tcW w:w="2689" w:type="dxa"/>
          </w:tcPr>
          <w:p w14:paraId="09BCFE6F" w14:textId="3FD2EADA" w:rsidR="00CF3713" w:rsidRPr="00683D55" w:rsidRDefault="003F249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Waiver of Subrogation</w:t>
            </w:r>
          </w:p>
        </w:tc>
        <w:tc>
          <w:tcPr>
            <w:tcW w:w="6713" w:type="dxa"/>
          </w:tcPr>
          <w:p w14:paraId="32799E59" w14:textId="68D20386" w:rsidR="00CF3713" w:rsidRPr="00683D55" w:rsidRDefault="003F2493" w:rsidP="00C956B1">
            <w:pPr>
              <w:rPr>
                <w:rFonts w:asciiTheme="minorHAnsi" w:eastAsiaTheme="minorEastAsia" w:hAnsiTheme="minorHAnsi"/>
                <w:sz w:val="24"/>
                <w:szCs w:val="24"/>
              </w:rPr>
            </w:pPr>
            <w:r w:rsidRPr="00683D55">
              <w:rPr>
                <w:rFonts w:asciiTheme="minorHAnsi" w:eastAsiaTheme="minorEastAsia" w:hAnsiTheme="minorHAnsi"/>
                <w:sz w:val="24"/>
                <w:szCs w:val="24"/>
              </w:rPr>
              <w:t>An agreement where an insurance company gives up its right to recover money from another party after paying a claim.</w:t>
            </w:r>
          </w:p>
        </w:tc>
      </w:tr>
      <w:tr w:rsidR="00CF3713" w:rsidRPr="00683D55" w14:paraId="11D8A4B9" w14:textId="77777777" w:rsidTr="34FB3F65">
        <w:tc>
          <w:tcPr>
            <w:tcW w:w="2689" w:type="dxa"/>
          </w:tcPr>
          <w:p w14:paraId="3CCB767A" w14:textId="056D697A" w:rsidR="00CF3713" w:rsidRPr="00683D55" w:rsidRDefault="003F2493" w:rsidP="00C956B1">
            <w:pPr>
              <w:rPr>
                <w:rFonts w:asciiTheme="minorHAnsi" w:eastAsiaTheme="minorEastAsia" w:hAnsiTheme="minorHAnsi"/>
                <w:b/>
                <w:sz w:val="24"/>
                <w:szCs w:val="24"/>
              </w:rPr>
            </w:pPr>
            <w:r w:rsidRPr="00683D55">
              <w:rPr>
                <w:rFonts w:asciiTheme="minorHAnsi" w:eastAsiaTheme="minorEastAsia" w:hAnsiTheme="minorHAnsi"/>
                <w:b/>
                <w:sz w:val="24"/>
                <w:szCs w:val="24"/>
              </w:rPr>
              <w:t>Underwriting</w:t>
            </w:r>
          </w:p>
        </w:tc>
        <w:tc>
          <w:tcPr>
            <w:tcW w:w="6713" w:type="dxa"/>
          </w:tcPr>
          <w:p w14:paraId="648D0A7F" w14:textId="289CB817" w:rsidR="00CF3713" w:rsidRPr="00683D55" w:rsidRDefault="003F2493" w:rsidP="00C956B1">
            <w:pPr>
              <w:rPr>
                <w:rFonts w:asciiTheme="minorHAnsi" w:eastAsiaTheme="minorEastAsia" w:hAnsiTheme="minorHAnsi"/>
                <w:b/>
                <w:sz w:val="24"/>
                <w:szCs w:val="24"/>
              </w:rPr>
            </w:pPr>
            <w:r w:rsidRPr="00683D55">
              <w:rPr>
                <w:rFonts w:asciiTheme="minorHAnsi" w:eastAsiaTheme="minorEastAsia" w:hAnsiTheme="minorHAnsi"/>
                <w:sz w:val="24"/>
                <w:szCs w:val="24"/>
              </w:rPr>
              <w:t>The process insurance companies use to decide how much risk they will take and what the cost will be.</w:t>
            </w:r>
          </w:p>
        </w:tc>
      </w:tr>
    </w:tbl>
    <w:p w14:paraId="04C8BF31" w14:textId="77777777" w:rsidR="00EB33FB" w:rsidRDefault="00EB33FB" w:rsidP="00F716EB">
      <w:pPr>
        <w:pStyle w:val="Normalsmall"/>
        <w:rPr>
          <w:rStyle w:val="Strong"/>
          <w:rFonts w:asciiTheme="minorHAnsi" w:eastAsiaTheme="minorEastAsia" w:hAnsiTheme="minorHAnsi"/>
          <w:sz w:val="24"/>
          <w:szCs w:val="24"/>
        </w:rPr>
      </w:pPr>
    </w:p>
    <w:p w14:paraId="2C35733F" w14:textId="77777777" w:rsidR="00EB33FB" w:rsidRDefault="00EB33FB" w:rsidP="00F716EB">
      <w:pPr>
        <w:pStyle w:val="Normalsmall"/>
        <w:rPr>
          <w:rStyle w:val="Strong"/>
          <w:rFonts w:asciiTheme="minorHAnsi" w:eastAsiaTheme="minorEastAsia" w:hAnsiTheme="minorHAnsi"/>
          <w:sz w:val="24"/>
          <w:szCs w:val="24"/>
        </w:rPr>
      </w:pPr>
    </w:p>
    <w:p w14:paraId="59063B60" w14:textId="77777777" w:rsidR="000F6A99" w:rsidRDefault="000F6A99" w:rsidP="00F716EB">
      <w:pPr>
        <w:pStyle w:val="Normalsmall"/>
        <w:rPr>
          <w:rStyle w:val="Strong"/>
          <w:rFonts w:asciiTheme="minorHAnsi" w:eastAsiaTheme="minorEastAsia" w:hAnsiTheme="minorHAnsi"/>
          <w:sz w:val="24"/>
          <w:szCs w:val="24"/>
        </w:rPr>
      </w:pPr>
    </w:p>
    <w:p w14:paraId="1ECED91E" w14:textId="77777777" w:rsidR="003A2A2C" w:rsidRDefault="003A2A2C" w:rsidP="00F716EB">
      <w:pPr>
        <w:pStyle w:val="Normalsmall"/>
        <w:rPr>
          <w:rStyle w:val="Strong"/>
          <w:rFonts w:asciiTheme="minorHAnsi" w:eastAsiaTheme="minorEastAsia" w:hAnsiTheme="minorHAnsi"/>
          <w:sz w:val="24"/>
          <w:szCs w:val="24"/>
        </w:rPr>
      </w:pPr>
    </w:p>
    <w:p w14:paraId="127E178E" w14:textId="77777777" w:rsidR="00923E50" w:rsidRDefault="00923E50" w:rsidP="00F716EB">
      <w:pPr>
        <w:pStyle w:val="Normalsmall"/>
        <w:rPr>
          <w:rStyle w:val="Strong"/>
          <w:rFonts w:asciiTheme="minorHAnsi" w:eastAsiaTheme="minorEastAsia" w:hAnsiTheme="minorHAnsi"/>
          <w:sz w:val="24"/>
          <w:szCs w:val="24"/>
        </w:rPr>
      </w:pPr>
    </w:p>
    <w:p w14:paraId="13B103D0" w14:textId="5750D15F" w:rsidR="00F716EB" w:rsidRPr="00E239BC" w:rsidRDefault="00F716EB" w:rsidP="00F716EB">
      <w:pPr>
        <w:pStyle w:val="Normalsmall"/>
        <w:rPr>
          <w:b/>
          <w:bCs/>
          <w:sz w:val="20"/>
          <w:szCs w:val="20"/>
        </w:rPr>
      </w:pPr>
      <w:r w:rsidRPr="00E239BC">
        <w:rPr>
          <w:rStyle w:val="Strong"/>
          <w:sz w:val="20"/>
          <w:szCs w:val="20"/>
        </w:rPr>
        <w:t>Acknowledgement of Country</w:t>
      </w:r>
    </w:p>
    <w:p w14:paraId="08EBF73E" w14:textId="77777777" w:rsidR="00F716EB" w:rsidRPr="00E239BC" w:rsidRDefault="00F716EB" w:rsidP="00F716EB">
      <w:pPr>
        <w:pStyle w:val="Normalsmall"/>
        <w:rPr>
          <w:rStyle w:val="Hyperlink"/>
          <w:color w:val="auto"/>
          <w:sz w:val="20"/>
          <w:szCs w:val="20"/>
          <w:u w:val="none"/>
        </w:rPr>
      </w:pPr>
      <w:r w:rsidRPr="00E239BC">
        <w:rPr>
          <w:sz w:val="20"/>
          <w:szCs w:val="20"/>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F78AD3C" w14:textId="77777777" w:rsidR="00F716EB" w:rsidRPr="00371A04" w:rsidRDefault="00F716EB" w:rsidP="00F716EB">
      <w:pPr>
        <w:pStyle w:val="Normalsmall"/>
        <w:spacing w:before="360"/>
        <w:rPr>
          <w:sz w:val="16"/>
          <w:szCs w:val="16"/>
        </w:rPr>
      </w:pPr>
      <w:r w:rsidRPr="00371A04">
        <w:rPr>
          <w:sz w:val="16"/>
          <w:szCs w:val="16"/>
        </w:rPr>
        <w:t>© Commonwealth of Australia 2025</w:t>
      </w:r>
    </w:p>
    <w:p w14:paraId="339ABAFA" w14:textId="77777777" w:rsidR="00F716EB" w:rsidRPr="00E239BC" w:rsidRDefault="00F716EB" w:rsidP="00F716EB">
      <w:pPr>
        <w:pStyle w:val="Normalsmall"/>
        <w:rPr>
          <w:sz w:val="16"/>
          <w:szCs w:val="16"/>
          <w:lang w:val="en-US"/>
        </w:rPr>
      </w:pPr>
      <w:r w:rsidRPr="00E239BC">
        <w:rPr>
          <w:sz w:val="16"/>
          <w:szCs w:val="16"/>
          <w:lang w:val="en-US"/>
        </w:rPr>
        <w:t xml:space="preserve">Material in this publication is licensed by the Commonwealth of Australia, represented by the Department of Climate Change, Energy, the Environment and Water, under a Creative Commons Attribution (CC-BY) 4.0 International License, except for the following which are excluded from the </w:t>
      </w:r>
      <w:proofErr w:type="spellStart"/>
      <w:r w:rsidRPr="00E239BC">
        <w:rPr>
          <w:sz w:val="16"/>
          <w:szCs w:val="16"/>
          <w:lang w:val="en-US"/>
        </w:rPr>
        <w:t>licence</w:t>
      </w:r>
      <w:proofErr w:type="spellEnd"/>
      <w:r w:rsidRPr="00E239BC">
        <w:rPr>
          <w:sz w:val="16"/>
          <w:szCs w:val="16"/>
          <w:lang w:val="en-US"/>
        </w:rPr>
        <w:t>: the Commonwealth Coat of Arms; the Department of Climate Change, Energy, the Environment and Water logo; and content that is specified as being subject to third party copyright limitations or as otherwise noted within this publication.</w:t>
      </w:r>
    </w:p>
    <w:p w14:paraId="5203DD0A" w14:textId="77777777" w:rsidR="00F716EB" w:rsidRPr="00E239BC" w:rsidRDefault="00F716EB" w:rsidP="00F716EB">
      <w:pPr>
        <w:pStyle w:val="Normalsmall"/>
        <w:rPr>
          <w:sz w:val="16"/>
          <w:szCs w:val="16"/>
        </w:rPr>
      </w:pPr>
      <w:r w:rsidRPr="00E239BC">
        <w:rPr>
          <w:sz w:val="16"/>
          <w:szCs w:val="16"/>
          <w:lang w:val="en-US"/>
        </w:rPr>
        <w:t xml:space="preserve">Details of the </w:t>
      </w:r>
      <w:hyperlink r:id="rId9" w:history="1">
        <w:r w:rsidRPr="00E239BC">
          <w:rPr>
            <w:rStyle w:val="Hyperlink"/>
            <w:sz w:val="16"/>
            <w:szCs w:val="16"/>
            <w:lang w:val="en-US"/>
          </w:rPr>
          <w:t xml:space="preserve">CC-BY 4.0 International </w:t>
        </w:r>
        <w:proofErr w:type="spellStart"/>
        <w:r w:rsidRPr="00E239BC">
          <w:rPr>
            <w:rStyle w:val="Hyperlink"/>
            <w:sz w:val="16"/>
            <w:szCs w:val="16"/>
            <w:lang w:val="en-US"/>
          </w:rPr>
          <w:t>licence</w:t>
        </w:r>
        <w:proofErr w:type="spellEnd"/>
        <w:r w:rsidRPr="00E239BC">
          <w:rPr>
            <w:rStyle w:val="Hyperlink"/>
            <w:sz w:val="16"/>
            <w:szCs w:val="16"/>
            <w:lang w:val="en-US"/>
          </w:rPr>
          <w:t xml:space="preserve"> conditions </w:t>
        </w:r>
      </w:hyperlink>
      <w:r w:rsidRPr="00E239BC">
        <w:rPr>
          <w:sz w:val="16"/>
          <w:szCs w:val="16"/>
          <w:lang w:val="en-US"/>
        </w:rPr>
        <w:t xml:space="preserve">are on the Creative Commons website, as is the full legal code. The full license terms are available from </w:t>
      </w:r>
      <w:hyperlink r:id="rId10" w:history="1">
        <w:r w:rsidRPr="00E239BC">
          <w:rPr>
            <w:rStyle w:val="Hyperlink"/>
            <w:sz w:val="16"/>
            <w:szCs w:val="16"/>
            <w:lang w:val="en-US"/>
          </w:rPr>
          <w:t>Legal Code - Attribution 4.0 International - Creative Commons</w:t>
        </w:r>
      </w:hyperlink>
    </w:p>
    <w:p w14:paraId="2FBC8560" w14:textId="77777777" w:rsidR="00F716EB" w:rsidRDefault="00F716EB" w:rsidP="00F716EB">
      <w:pPr>
        <w:pStyle w:val="Normalsmall"/>
        <w:rPr>
          <w:sz w:val="16"/>
          <w:szCs w:val="16"/>
        </w:rPr>
      </w:pPr>
      <w:r w:rsidRPr="00E239BC">
        <w:rPr>
          <w:sz w:val="16"/>
          <w:szCs w:val="16"/>
        </w:rPr>
        <w:t>You are free to copy, communicate and adapt the Department of Climate Change, Energy, the Environment and Water's copyright material in this publication. You must attribute the Department of Climate Change, Energy, the Environment and Water and the authors in the following manner:</w:t>
      </w:r>
    </w:p>
    <w:p w14:paraId="33AE42C4" w14:textId="4562022E" w:rsidR="00F716EB" w:rsidRPr="00E239BC" w:rsidRDefault="00890611" w:rsidP="00890611">
      <w:pPr>
        <w:pStyle w:val="Normalsmall"/>
        <w:rPr>
          <w:sz w:val="16"/>
          <w:szCs w:val="16"/>
        </w:rPr>
      </w:pPr>
      <w:r w:rsidRPr="00890611">
        <w:rPr>
          <w:sz w:val="16"/>
          <w:szCs w:val="16"/>
        </w:rPr>
        <w:t>Position statement</w:t>
      </w:r>
      <w:r w:rsidR="00A33B4B">
        <w:rPr>
          <w:sz w:val="16"/>
          <w:szCs w:val="16"/>
        </w:rPr>
        <w:t xml:space="preserve"> </w:t>
      </w:r>
      <w:r w:rsidRPr="00890611">
        <w:rPr>
          <w:sz w:val="16"/>
          <w:szCs w:val="16"/>
        </w:rPr>
        <w:t>Public Liability Insurance for Landholders neighbouring energy infrastructure</w:t>
      </w:r>
      <w:r w:rsidR="00A33B4B">
        <w:rPr>
          <w:sz w:val="16"/>
          <w:szCs w:val="16"/>
        </w:rPr>
        <w:t xml:space="preserve">. </w:t>
      </w:r>
      <w:r w:rsidR="00F716EB" w:rsidRPr="003127A0">
        <w:rPr>
          <w:sz w:val="16"/>
          <w:szCs w:val="16"/>
        </w:rPr>
        <w:t>Department of Climate Change, Energy, the Environment and Water, 2025.</w:t>
      </w:r>
      <w:r w:rsidR="00F716EB" w:rsidRPr="00A33B4B">
        <w:rPr>
          <w:sz w:val="16"/>
          <w:szCs w:val="16"/>
        </w:rPr>
        <w:t> </w:t>
      </w:r>
    </w:p>
    <w:p w14:paraId="3F4431D8" w14:textId="77777777" w:rsidR="00F716EB" w:rsidRPr="00E239BC" w:rsidRDefault="00F716EB" w:rsidP="00F716EB">
      <w:pPr>
        <w:pStyle w:val="Normalsmall"/>
        <w:rPr>
          <w:b/>
          <w:bCs/>
          <w:sz w:val="16"/>
          <w:szCs w:val="16"/>
          <w:lang w:val="en-US"/>
        </w:rPr>
      </w:pPr>
      <w:r w:rsidRPr="00E239BC">
        <w:rPr>
          <w:b/>
          <w:bCs/>
          <w:sz w:val="16"/>
          <w:szCs w:val="16"/>
          <w:lang w:val="en-US"/>
        </w:rPr>
        <w:t>AEIC Position Statements</w:t>
      </w:r>
    </w:p>
    <w:p w14:paraId="363900BD" w14:textId="77777777" w:rsidR="00F716EB" w:rsidRPr="00E239BC" w:rsidRDefault="00F716EB" w:rsidP="00F716EB">
      <w:pPr>
        <w:pStyle w:val="Normalsmall"/>
        <w:rPr>
          <w:sz w:val="16"/>
          <w:szCs w:val="16"/>
          <w:lang w:val="en-US"/>
        </w:rPr>
      </w:pPr>
      <w:r w:rsidRPr="00E239BC">
        <w:rPr>
          <w:sz w:val="16"/>
          <w:szCs w:val="16"/>
          <w:lang w:val="en-US"/>
        </w:rPr>
        <w:t>The Australian Energy Infrastructure Commissioner (AEIC) is an independent role appointed by the Australian Government, reporting to the Minister for Climate Change and Energy. The purpose of this Position Statement is to provide general information and the opinion of the Australian Energy Infrastructure Commissioner based on information available at the time of publication.</w:t>
      </w:r>
    </w:p>
    <w:p w14:paraId="43DE2143" w14:textId="77777777" w:rsidR="00F716EB" w:rsidRPr="00E239BC" w:rsidRDefault="00F716EB" w:rsidP="00F716EB">
      <w:pPr>
        <w:pStyle w:val="Normalsmall"/>
        <w:rPr>
          <w:b/>
          <w:bCs/>
          <w:sz w:val="16"/>
          <w:szCs w:val="16"/>
          <w:lang w:val="en-US"/>
        </w:rPr>
      </w:pPr>
      <w:r w:rsidRPr="00E239BC">
        <w:rPr>
          <w:b/>
          <w:bCs/>
          <w:sz w:val="16"/>
          <w:szCs w:val="16"/>
          <w:lang w:val="en-US"/>
        </w:rPr>
        <w:t>Disclaimer</w:t>
      </w:r>
    </w:p>
    <w:p w14:paraId="3BAECF92" w14:textId="77777777" w:rsidR="00F716EB" w:rsidRPr="00E239BC" w:rsidRDefault="00F716EB" w:rsidP="00F716EB">
      <w:pPr>
        <w:pStyle w:val="Normalsmall"/>
        <w:rPr>
          <w:sz w:val="16"/>
          <w:szCs w:val="16"/>
          <w:lang w:val="en-US"/>
        </w:rPr>
      </w:pPr>
      <w:r w:rsidRPr="00E239BC">
        <w:rPr>
          <w:sz w:val="16"/>
          <w:szCs w:val="16"/>
          <w:lang w:val="en-US"/>
        </w:rPr>
        <w:t>This publication is for general information only. It is not a substitute for independent professional advice. While reasonable efforts have been made to ensure that the contents of this publication are accurate at the time of publication, the information may not be complete and is subject to change without notice. The Commonwealth of Australia does not make any representation or give any warranty of any kind, including in relation to the accuracy, currency, completeness, quality, reliability or suitability for any purpose of the information in this publication. The Commonwealth of Australia is not liable for losses, damages, costs and expenses that a person may incur or suffer from using information in this publication. To the maximum extent permitted by law, the Commonwealth of Australia excludes all liability to any person arising from using information in this publication.</w:t>
      </w:r>
    </w:p>
    <w:p w14:paraId="7DE45DA9" w14:textId="77777777" w:rsidR="007C0DF3" w:rsidRDefault="007C0DF3" w:rsidP="00E9781D">
      <w:pPr>
        <w:pStyle w:val="Normalsmall"/>
      </w:pPr>
    </w:p>
    <w:p w14:paraId="3CEA1D7F" w14:textId="77777777" w:rsidR="007C0DF3" w:rsidRDefault="007C0DF3" w:rsidP="00E9781D">
      <w:pPr>
        <w:pStyle w:val="Normalsmall"/>
      </w:pPr>
    </w:p>
    <w:p w14:paraId="7C7A69C6" w14:textId="77777777" w:rsidR="007C0DF3" w:rsidRDefault="007C0DF3" w:rsidP="00E9781D">
      <w:pPr>
        <w:pStyle w:val="Normalsmall"/>
      </w:pPr>
    </w:p>
    <w:sectPr w:rsidR="007C0DF3" w:rsidSect="00085AC5">
      <w:headerReference w:type="even" r:id="rId11"/>
      <w:headerReference w:type="default" r:id="rId12"/>
      <w:footerReference w:type="even" r:id="rId13"/>
      <w:footerReference w:type="default" r:id="rId14"/>
      <w:headerReference w:type="first" r:id="rId15"/>
      <w:type w:val="continuous"/>
      <w:pgSz w:w="11906" w:h="16838" w:code="9"/>
      <w:pgMar w:top="1247" w:right="1247" w:bottom="1134" w:left="1247" w:header="680" w:footer="107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E56E4" w14:textId="77777777" w:rsidR="007C637A" w:rsidRDefault="007C637A">
      <w:r>
        <w:separator/>
      </w:r>
    </w:p>
    <w:p w14:paraId="29680AFF" w14:textId="77777777" w:rsidR="007C637A" w:rsidRDefault="007C637A"/>
    <w:p w14:paraId="177AABE3" w14:textId="77777777" w:rsidR="007C637A" w:rsidRDefault="007C637A"/>
  </w:endnote>
  <w:endnote w:type="continuationSeparator" w:id="0">
    <w:p w14:paraId="7DC05A48" w14:textId="77777777" w:rsidR="007C637A" w:rsidRDefault="007C637A">
      <w:r>
        <w:continuationSeparator/>
      </w:r>
    </w:p>
    <w:p w14:paraId="57547623" w14:textId="77777777" w:rsidR="007C637A" w:rsidRDefault="007C637A"/>
    <w:p w14:paraId="5E4511D4" w14:textId="77777777" w:rsidR="007C637A" w:rsidRDefault="007C637A"/>
  </w:endnote>
  <w:endnote w:type="continuationNotice" w:id="1">
    <w:p w14:paraId="4A118891" w14:textId="77777777" w:rsidR="007C637A" w:rsidRDefault="007C637A">
      <w:pPr>
        <w:pStyle w:val="Footer"/>
      </w:pPr>
    </w:p>
    <w:p w14:paraId="1DB1062F" w14:textId="77777777" w:rsidR="007C637A" w:rsidRDefault="007C637A"/>
    <w:p w14:paraId="2B46F4F2" w14:textId="77777777" w:rsidR="007C637A" w:rsidRDefault="007C6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084AB" w14:textId="5606ACD9" w:rsidR="00B119D3" w:rsidRDefault="0063405B">
    <w:pPr>
      <w:pStyle w:val="Footer"/>
    </w:pPr>
    <w:r>
      <w:rPr>
        <w:noProof/>
      </w:rPr>
      <mc:AlternateContent>
        <mc:Choice Requires="wps">
          <w:drawing>
            <wp:anchor distT="0" distB="0" distL="0" distR="0" simplePos="0" relativeHeight="251658243" behindDoc="0" locked="0" layoutInCell="1" allowOverlap="1" wp14:anchorId="5921D952" wp14:editId="37160D19">
              <wp:simplePos x="635" y="635"/>
              <wp:positionH relativeFrom="page">
                <wp:align>center</wp:align>
              </wp:positionH>
              <wp:positionV relativeFrom="page">
                <wp:align>bottom</wp:align>
              </wp:positionV>
              <wp:extent cx="551815" cy="404495"/>
              <wp:effectExtent l="0" t="0" r="635" b="0"/>
              <wp:wrapNone/>
              <wp:docPr id="87944339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133D51" w14:textId="5823FB7B" w:rsidR="0063405B" w:rsidRPr="0063405B" w:rsidRDefault="0063405B" w:rsidP="0063405B">
                          <w:pPr>
                            <w:spacing w:after="0"/>
                            <w:rPr>
                              <w:rFonts w:ascii="Calibri" w:eastAsia="Calibri" w:hAnsi="Calibri" w:cs="Calibri"/>
                              <w:noProof/>
                              <w:color w:val="FF0000"/>
                              <w:sz w:val="24"/>
                              <w:szCs w:val="24"/>
                            </w:rPr>
                          </w:pPr>
                          <w:r w:rsidRPr="0063405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1D952"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17133D51" w14:textId="5823FB7B" w:rsidR="0063405B" w:rsidRPr="0063405B" w:rsidRDefault="0063405B" w:rsidP="0063405B">
                    <w:pPr>
                      <w:spacing w:after="0"/>
                      <w:rPr>
                        <w:rFonts w:ascii="Calibri" w:eastAsia="Calibri" w:hAnsi="Calibri" w:cs="Calibri"/>
                        <w:noProof/>
                        <w:color w:val="FF0000"/>
                        <w:sz w:val="24"/>
                        <w:szCs w:val="24"/>
                      </w:rPr>
                    </w:pPr>
                    <w:r w:rsidRPr="0063405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4676D" w14:textId="58FDF70C" w:rsidR="000542B4" w:rsidRPr="00881D00" w:rsidRDefault="001E09C3" w:rsidP="0025431E">
    <w:pPr>
      <w:pStyle w:val="Footer"/>
      <w:jc w:val="right"/>
    </w:pPr>
    <w:r>
      <w:rPr>
        <w:sz w:val="18"/>
        <w:szCs w:val="20"/>
      </w:rPr>
      <w:fldChar w:fldCharType="begin"/>
    </w:r>
    <w:r>
      <w:rPr>
        <w:sz w:val="18"/>
        <w:szCs w:val="20"/>
      </w:rPr>
      <w:instrText xml:space="preserve"> PAGE   \* MERGEFORMAT </w:instrText>
    </w:r>
    <w:r>
      <w:rPr>
        <w:sz w:val="18"/>
        <w:szCs w:val="20"/>
      </w:rPr>
      <w:fldChar w:fldCharType="separate"/>
    </w:r>
    <w:r>
      <w:rPr>
        <w:noProof/>
        <w:sz w:val="18"/>
        <w:szCs w:val="20"/>
      </w:rPr>
      <w:t>4</w:t>
    </w:r>
    <w:r>
      <w:rPr>
        <w:sz w:val="18"/>
        <w:szCs w:val="20"/>
      </w:rPr>
      <w:fldChar w:fldCharType="end"/>
    </w:r>
    <w:r w:rsidR="0067357A">
      <w:rPr>
        <w:sz w:val="18"/>
        <w:szCs w:val="20"/>
      </w:rPr>
      <w:t xml:space="preserve"> of </w:t>
    </w:r>
    <w:r w:rsidR="0067357A">
      <w:rPr>
        <w:sz w:val="18"/>
        <w:szCs w:val="20"/>
      </w:rPr>
      <w:fldChar w:fldCharType="begin"/>
    </w:r>
    <w:r w:rsidR="0067357A">
      <w:rPr>
        <w:sz w:val="18"/>
        <w:szCs w:val="20"/>
      </w:rPr>
      <w:instrText xml:space="preserve"> NUMPAGES   \* MERGEFORMAT </w:instrText>
    </w:r>
    <w:r w:rsidR="0067357A">
      <w:rPr>
        <w:sz w:val="18"/>
        <w:szCs w:val="20"/>
      </w:rPr>
      <w:fldChar w:fldCharType="separate"/>
    </w:r>
    <w:r w:rsidR="0067357A">
      <w:rPr>
        <w:noProof/>
        <w:sz w:val="18"/>
        <w:szCs w:val="20"/>
      </w:rPr>
      <w:t>5</w:t>
    </w:r>
    <w:r w:rsidR="0067357A">
      <w:rPr>
        <w:sz w:val="18"/>
        <w:szCs w:val="20"/>
      </w:rPr>
      <w:fldChar w:fldCharType="end"/>
    </w:r>
    <w:r w:rsidR="0025431E" w:rsidRPr="00881D00">
      <w:rPr>
        <w:sz w:val="18"/>
        <w:szCs w:val="20"/>
      </w:rPr>
      <w:tab/>
    </w:r>
    <w:r w:rsidR="0025431E" w:rsidRPr="00881D00">
      <w:rPr>
        <w:sz w:val="18"/>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1180E" w14:textId="77777777" w:rsidR="007C637A" w:rsidRDefault="007C637A">
      <w:r>
        <w:separator/>
      </w:r>
    </w:p>
    <w:p w14:paraId="0F04C048" w14:textId="77777777" w:rsidR="007C637A" w:rsidRDefault="007C637A"/>
    <w:p w14:paraId="445152E9" w14:textId="77777777" w:rsidR="007C637A" w:rsidRDefault="007C637A"/>
  </w:footnote>
  <w:footnote w:type="continuationSeparator" w:id="0">
    <w:p w14:paraId="701A0404" w14:textId="77777777" w:rsidR="007C637A" w:rsidRDefault="007C637A">
      <w:r>
        <w:continuationSeparator/>
      </w:r>
    </w:p>
    <w:p w14:paraId="3118F96D" w14:textId="77777777" w:rsidR="007C637A" w:rsidRDefault="007C637A"/>
    <w:p w14:paraId="26259AB3" w14:textId="77777777" w:rsidR="007C637A" w:rsidRDefault="007C637A"/>
  </w:footnote>
  <w:footnote w:type="continuationNotice" w:id="1">
    <w:p w14:paraId="73979306" w14:textId="77777777" w:rsidR="007C637A" w:rsidRDefault="007C637A">
      <w:pPr>
        <w:pStyle w:val="Footer"/>
      </w:pPr>
    </w:p>
    <w:p w14:paraId="18F0376E" w14:textId="77777777" w:rsidR="007C637A" w:rsidRDefault="007C637A"/>
    <w:p w14:paraId="528B4051" w14:textId="77777777" w:rsidR="007C637A" w:rsidRDefault="007C6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3FE4" w14:textId="018D31AD" w:rsidR="00B119D3" w:rsidRDefault="0063405B">
    <w:pPr>
      <w:pStyle w:val="Header"/>
    </w:pPr>
    <w:r>
      <w:rPr>
        <w:noProof/>
      </w:rPr>
      <mc:AlternateContent>
        <mc:Choice Requires="wps">
          <w:drawing>
            <wp:anchor distT="0" distB="0" distL="0" distR="0" simplePos="0" relativeHeight="251658242" behindDoc="0" locked="0" layoutInCell="1" allowOverlap="1" wp14:anchorId="7E117B9A" wp14:editId="3DBBEA30">
              <wp:simplePos x="635" y="635"/>
              <wp:positionH relativeFrom="page">
                <wp:align>center</wp:align>
              </wp:positionH>
              <wp:positionV relativeFrom="page">
                <wp:align>top</wp:align>
              </wp:positionV>
              <wp:extent cx="551815" cy="404495"/>
              <wp:effectExtent l="0" t="0" r="635" b="14605"/>
              <wp:wrapNone/>
              <wp:docPr id="12579944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C2C09CF" w14:textId="10810386" w:rsidR="0063405B" w:rsidRPr="0063405B" w:rsidRDefault="0063405B" w:rsidP="0063405B">
                          <w:pPr>
                            <w:spacing w:after="0"/>
                            <w:rPr>
                              <w:rFonts w:ascii="Calibri" w:eastAsia="Calibri" w:hAnsi="Calibri" w:cs="Calibri"/>
                              <w:noProof/>
                              <w:color w:val="FF0000"/>
                              <w:sz w:val="24"/>
                              <w:szCs w:val="24"/>
                            </w:rPr>
                          </w:pPr>
                          <w:r w:rsidRPr="0063405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117B9A"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C2C09CF" w14:textId="10810386" w:rsidR="0063405B" w:rsidRPr="0063405B" w:rsidRDefault="0063405B" w:rsidP="0063405B">
                    <w:pPr>
                      <w:spacing w:after="0"/>
                      <w:rPr>
                        <w:rFonts w:ascii="Calibri" w:eastAsia="Calibri" w:hAnsi="Calibri" w:cs="Calibri"/>
                        <w:noProof/>
                        <w:color w:val="FF0000"/>
                        <w:sz w:val="24"/>
                        <w:szCs w:val="24"/>
                      </w:rPr>
                    </w:pPr>
                    <w:r w:rsidRPr="0063405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EC00" w14:textId="7DD41914" w:rsidR="0075723D" w:rsidRPr="00F50362" w:rsidRDefault="0075723D" w:rsidP="0075723D">
    <w:pPr>
      <w:pStyle w:val="Header"/>
      <w:rPr>
        <w:bCs/>
        <w:sz w:val="18"/>
        <w:szCs w:val="20"/>
      </w:rPr>
    </w:pPr>
    <w:r w:rsidRPr="00F50362">
      <w:rPr>
        <w:bCs/>
        <w:sz w:val="18"/>
        <w:szCs w:val="20"/>
      </w:rPr>
      <w:t xml:space="preserve">Position </w:t>
    </w:r>
    <w:r w:rsidR="008E6C60">
      <w:rPr>
        <w:bCs/>
        <w:sz w:val="18"/>
        <w:szCs w:val="20"/>
      </w:rPr>
      <w:t>S</w:t>
    </w:r>
    <w:r w:rsidRPr="00F50362">
      <w:rPr>
        <w:bCs/>
        <w:sz w:val="18"/>
        <w:szCs w:val="20"/>
      </w:rPr>
      <w:t xml:space="preserve">tatement: </w:t>
    </w:r>
    <w:r w:rsidR="00C2333E" w:rsidRPr="00C2333E">
      <w:rPr>
        <w:bCs/>
        <w:sz w:val="18"/>
        <w:szCs w:val="20"/>
      </w:rPr>
      <w:t>Public Liability Insurance for Landholders Neighbouring Energy Infrastructure</w:t>
    </w:r>
  </w:p>
  <w:p w14:paraId="661DC160" w14:textId="79229A7D" w:rsidR="000542B4" w:rsidRPr="007C0DF3" w:rsidRDefault="002A0800">
    <w:pPr>
      <w:pStyle w:val="Header"/>
      <w:rPr>
        <w:sz w:val="18"/>
        <w:szCs w:val="20"/>
      </w:rPr>
    </w:pPr>
    <w:r>
      <w:rPr>
        <w:noProof/>
        <w:color w:val="FF0000"/>
      </w:rPr>
      <w:drawing>
        <wp:anchor distT="0" distB="0" distL="114300" distR="114300" simplePos="0" relativeHeight="251658244" behindDoc="1" locked="0" layoutInCell="1" allowOverlap="1" wp14:anchorId="4C8BCA87" wp14:editId="31431574">
          <wp:simplePos x="0" y="0"/>
          <wp:positionH relativeFrom="page">
            <wp:align>right</wp:align>
          </wp:positionH>
          <wp:positionV relativeFrom="paragraph">
            <wp:posOffset>3989132</wp:posOffset>
          </wp:positionV>
          <wp:extent cx="7596137" cy="6069162"/>
          <wp:effectExtent l="0" t="0" r="5080" b="8255"/>
          <wp:wrapNone/>
          <wp:docPr id="52934129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41298" name="Picture 3">
                    <a:extLst>
                      <a:ext uri="{C183D7F6-B498-43B3-948B-1728B52AA6E4}">
                        <adec:decorative xmlns:adec="http://schemas.microsoft.com/office/drawing/2017/decorative" val="1"/>
                      </a:ext>
                    </a:extLst>
                  </pic:cNvPr>
                  <pic:cNvPicPr/>
                </pic:nvPicPr>
                <pic:blipFill>
                  <a:blip r:embed="rId1">
                    <a:alphaModFix amt="72000"/>
                    <a:extLst>
                      <a:ext uri="{28A0092B-C50C-407E-A947-70E740481C1C}">
                        <a14:useLocalDpi xmlns:a14="http://schemas.microsoft.com/office/drawing/2010/main" val="0"/>
                      </a:ext>
                    </a:extLst>
                  </a:blip>
                  <a:stretch>
                    <a:fillRect/>
                  </a:stretch>
                </pic:blipFill>
                <pic:spPr>
                  <a:xfrm>
                    <a:off x="0" y="0"/>
                    <a:ext cx="7596137" cy="606916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8C6B" w14:textId="2925F6AC" w:rsidR="000E455C" w:rsidRDefault="00EB2436" w:rsidP="007C0DF3">
    <w:pPr>
      <w:pStyle w:val="Footer"/>
      <w:jc w:val="left"/>
    </w:pPr>
    <w:r>
      <w:rPr>
        <w:noProof/>
      </w:rPr>
      <w:drawing>
        <wp:anchor distT="0" distB="0" distL="114300" distR="114300" simplePos="0" relativeHeight="251658240" behindDoc="1" locked="0" layoutInCell="1" allowOverlap="1" wp14:anchorId="317610DD" wp14:editId="759AD0EA">
          <wp:simplePos x="0" y="0"/>
          <wp:positionH relativeFrom="page">
            <wp:align>right</wp:align>
          </wp:positionH>
          <wp:positionV relativeFrom="paragraph">
            <wp:posOffset>-431800</wp:posOffset>
          </wp:positionV>
          <wp:extent cx="7559675" cy="10685780"/>
          <wp:effectExtent l="0" t="0" r="3175" b="1270"/>
          <wp:wrapNone/>
          <wp:docPr id="64112277" name="Picture 64112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2277" name="Picture 641122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70" cy="10686338"/>
                  </a:xfrm>
                  <a:prstGeom prst="rect">
                    <a:avLst/>
                  </a:prstGeom>
                </pic:spPr>
              </pic:pic>
            </a:graphicData>
          </a:graphic>
          <wp14:sizeRelH relativeFrom="page">
            <wp14:pctWidth>0</wp14:pctWidth>
          </wp14:sizeRelH>
          <wp14:sizeRelV relativeFrom="page">
            <wp14:pctHeight>0</wp14:pctHeight>
          </wp14:sizeRelV>
        </wp:anchor>
      </w:drawing>
    </w:r>
    <w:r w:rsidR="0025431E">
      <w:rPr>
        <w:noProof/>
      </w:rPr>
      <w:drawing>
        <wp:anchor distT="0" distB="0" distL="114300" distR="114300" simplePos="0" relativeHeight="251658241" behindDoc="1" locked="0" layoutInCell="1" allowOverlap="1" wp14:anchorId="3DBDFDCC" wp14:editId="72BD13BA">
          <wp:simplePos x="0" y="0"/>
          <wp:positionH relativeFrom="page">
            <wp:posOffset>0</wp:posOffset>
          </wp:positionH>
          <wp:positionV relativeFrom="paragraph">
            <wp:posOffset>634398</wp:posOffset>
          </wp:positionV>
          <wp:extent cx="7602302" cy="1344706"/>
          <wp:effectExtent l="0" t="0" r="0" b="8255"/>
          <wp:wrapNone/>
          <wp:docPr id="577267413" name="Picture 577267413" descr="Several windmills on a hill, with cloud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67413" name="Picture 577267413" descr="Several windmills on a hill, with clouds in the background."/>
                  <pic:cNvPicPr/>
                </pic:nvPicPr>
                <pic:blipFill rotWithShape="1">
                  <a:blip r:embed="rId2">
                    <a:extLst>
                      <a:ext uri="{28A0092B-C50C-407E-A947-70E740481C1C}">
                        <a14:useLocalDpi xmlns:a14="http://schemas.microsoft.com/office/drawing/2010/main" val="0"/>
                      </a:ext>
                    </a:extLst>
                  </a:blip>
                  <a:srcRect t="27258" b="44328"/>
                  <a:stretch>
                    <a:fillRect/>
                  </a:stretch>
                </pic:blipFill>
                <pic:spPr bwMode="auto">
                  <a:xfrm>
                    <a:off x="0" y="0"/>
                    <a:ext cx="7602302" cy="1344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793D0F"/>
    <w:multiLevelType w:val="hybridMultilevel"/>
    <w:tmpl w:val="FFFFFFFF"/>
    <w:lvl w:ilvl="0" w:tplc="DE8051EA">
      <w:start w:val="1"/>
      <w:numFmt w:val="decimal"/>
      <w:lvlText w:val="%1."/>
      <w:lvlJc w:val="left"/>
      <w:pPr>
        <w:ind w:left="720" w:hanging="360"/>
      </w:pPr>
    </w:lvl>
    <w:lvl w:ilvl="1" w:tplc="1500012A">
      <w:start w:val="1"/>
      <w:numFmt w:val="lowerLetter"/>
      <w:lvlText w:val="%2."/>
      <w:lvlJc w:val="left"/>
      <w:pPr>
        <w:ind w:left="1440" w:hanging="360"/>
      </w:pPr>
    </w:lvl>
    <w:lvl w:ilvl="2" w:tplc="FAF2B280">
      <w:start w:val="1"/>
      <w:numFmt w:val="lowerRoman"/>
      <w:lvlText w:val="%3."/>
      <w:lvlJc w:val="right"/>
      <w:pPr>
        <w:ind w:left="2160" w:hanging="180"/>
      </w:pPr>
    </w:lvl>
    <w:lvl w:ilvl="3" w:tplc="66182654">
      <w:start w:val="1"/>
      <w:numFmt w:val="decimal"/>
      <w:lvlText w:val="%4."/>
      <w:lvlJc w:val="left"/>
      <w:pPr>
        <w:ind w:left="2880" w:hanging="360"/>
      </w:pPr>
    </w:lvl>
    <w:lvl w:ilvl="4" w:tplc="B0AEB42C">
      <w:start w:val="1"/>
      <w:numFmt w:val="lowerLetter"/>
      <w:lvlText w:val="%5."/>
      <w:lvlJc w:val="left"/>
      <w:pPr>
        <w:ind w:left="3600" w:hanging="360"/>
      </w:pPr>
    </w:lvl>
    <w:lvl w:ilvl="5" w:tplc="8968CC0A">
      <w:start w:val="1"/>
      <w:numFmt w:val="lowerRoman"/>
      <w:lvlText w:val="%6."/>
      <w:lvlJc w:val="right"/>
      <w:pPr>
        <w:ind w:left="4320" w:hanging="180"/>
      </w:pPr>
    </w:lvl>
    <w:lvl w:ilvl="6" w:tplc="24C61370">
      <w:start w:val="1"/>
      <w:numFmt w:val="decimal"/>
      <w:lvlText w:val="%7."/>
      <w:lvlJc w:val="left"/>
      <w:pPr>
        <w:ind w:left="5040" w:hanging="360"/>
      </w:pPr>
    </w:lvl>
    <w:lvl w:ilvl="7" w:tplc="006A64C0">
      <w:start w:val="1"/>
      <w:numFmt w:val="lowerLetter"/>
      <w:lvlText w:val="%8."/>
      <w:lvlJc w:val="left"/>
      <w:pPr>
        <w:ind w:left="5760" w:hanging="360"/>
      </w:pPr>
    </w:lvl>
    <w:lvl w:ilvl="8" w:tplc="72FC954A">
      <w:start w:val="1"/>
      <w:numFmt w:val="lowerRoman"/>
      <w:lvlText w:val="%9."/>
      <w:lvlJc w:val="right"/>
      <w:pPr>
        <w:ind w:left="6480" w:hanging="180"/>
      </w:pPr>
    </w:lvl>
  </w:abstractNum>
  <w:abstractNum w:abstractNumId="2" w15:restartNumberingAfterBreak="0">
    <w:nsid w:val="06B70E52"/>
    <w:multiLevelType w:val="hybridMultilevel"/>
    <w:tmpl w:val="FFFFFFFF"/>
    <w:lvl w:ilvl="0" w:tplc="031C9FC6">
      <w:start w:val="1"/>
      <w:numFmt w:val="bullet"/>
      <w:lvlText w:val=""/>
      <w:lvlJc w:val="left"/>
      <w:pPr>
        <w:ind w:left="720" w:hanging="360"/>
      </w:pPr>
      <w:rPr>
        <w:rFonts w:ascii="Symbol" w:hAnsi="Symbol" w:hint="default"/>
      </w:rPr>
    </w:lvl>
    <w:lvl w:ilvl="1" w:tplc="FE8A908E">
      <w:start w:val="1"/>
      <w:numFmt w:val="bullet"/>
      <w:lvlText w:val="o"/>
      <w:lvlJc w:val="left"/>
      <w:pPr>
        <w:ind w:left="1440" w:hanging="360"/>
      </w:pPr>
      <w:rPr>
        <w:rFonts w:ascii="Courier New" w:hAnsi="Courier New" w:hint="default"/>
      </w:rPr>
    </w:lvl>
    <w:lvl w:ilvl="2" w:tplc="FDD2177A">
      <w:start w:val="1"/>
      <w:numFmt w:val="bullet"/>
      <w:lvlText w:val=""/>
      <w:lvlJc w:val="left"/>
      <w:pPr>
        <w:ind w:left="2160" w:hanging="360"/>
      </w:pPr>
      <w:rPr>
        <w:rFonts w:ascii="Wingdings" w:hAnsi="Wingdings" w:hint="default"/>
      </w:rPr>
    </w:lvl>
    <w:lvl w:ilvl="3" w:tplc="1C7E9362">
      <w:start w:val="1"/>
      <w:numFmt w:val="bullet"/>
      <w:lvlText w:val=""/>
      <w:lvlJc w:val="left"/>
      <w:pPr>
        <w:ind w:left="2880" w:hanging="360"/>
      </w:pPr>
      <w:rPr>
        <w:rFonts w:ascii="Symbol" w:hAnsi="Symbol" w:hint="default"/>
      </w:rPr>
    </w:lvl>
    <w:lvl w:ilvl="4" w:tplc="7EE818EC">
      <w:start w:val="1"/>
      <w:numFmt w:val="bullet"/>
      <w:lvlText w:val="o"/>
      <w:lvlJc w:val="left"/>
      <w:pPr>
        <w:ind w:left="3600" w:hanging="360"/>
      </w:pPr>
      <w:rPr>
        <w:rFonts w:ascii="Courier New" w:hAnsi="Courier New" w:hint="default"/>
      </w:rPr>
    </w:lvl>
    <w:lvl w:ilvl="5" w:tplc="7BCCAD36">
      <w:start w:val="1"/>
      <w:numFmt w:val="bullet"/>
      <w:lvlText w:val=""/>
      <w:lvlJc w:val="left"/>
      <w:pPr>
        <w:ind w:left="4320" w:hanging="360"/>
      </w:pPr>
      <w:rPr>
        <w:rFonts w:ascii="Wingdings" w:hAnsi="Wingdings" w:hint="default"/>
      </w:rPr>
    </w:lvl>
    <w:lvl w:ilvl="6" w:tplc="9AC4FE06">
      <w:start w:val="1"/>
      <w:numFmt w:val="bullet"/>
      <w:lvlText w:val=""/>
      <w:lvlJc w:val="left"/>
      <w:pPr>
        <w:ind w:left="5040" w:hanging="360"/>
      </w:pPr>
      <w:rPr>
        <w:rFonts w:ascii="Symbol" w:hAnsi="Symbol" w:hint="default"/>
      </w:rPr>
    </w:lvl>
    <w:lvl w:ilvl="7" w:tplc="E91EDEB2">
      <w:start w:val="1"/>
      <w:numFmt w:val="bullet"/>
      <w:lvlText w:val="o"/>
      <w:lvlJc w:val="left"/>
      <w:pPr>
        <w:ind w:left="5760" w:hanging="360"/>
      </w:pPr>
      <w:rPr>
        <w:rFonts w:ascii="Courier New" w:hAnsi="Courier New" w:hint="default"/>
      </w:rPr>
    </w:lvl>
    <w:lvl w:ilvl="8" w:tplc="E2E4F23C">
      <w:start w:val="1"/>
      <w:numFmt w:val="bullet"/>
      <w:lvlText w:val=""/>
      <w:lvlJc w:val="left"/>
      <w:pPr>
        <w:ind w:left="6480" w:hanging="360"/>
      </w:pPr>
      <w:rPr>
        <w:rFonts w:ascii="Wingdings" w:hAnsi="Wingdings" w:hint="default"/>
      </w:rPr>
    </w:lvl>
  </w:abstractNum>
  <w:abstractNum w:abstractNumId="3" w15:restartNumberingAfterBreak="0">
    <w:nsid w:val="0C5E2F35"/>
    <w:multiLevelType w:val="multilevel"/>
    <w:tmpl w:val="9340AC4C"/>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200504C3"/>
    <w:multiLevelType w:val="hybridMultilevel"/>
    <w:tmpl w:val="FFFFFFFF"/>
    <w:lvl w:ilvl="0" w:tplc="FC726A5C">
      <w:start w:val="1"/>
      <w:numFmt w:val="bullet"/>
      <w:lvlText w:val=""/>
      <w:lvlJc w:val="left"/>
      <w:pPr>
        <w:ind w:left="1080" w:hanging="360"/>
      </w:pPr>
      <w:rPr>
        <w:rFonts w:ascii="Symbol" w:hAnsi="Symbol" w:hint="default"/>
      </w:rPr>
    </w:lvl>
    <w:lvl w:ilvl="1" w:tplc="E758C542">
      <w:start w:val="1"/>
      <w:numFmt w:val="bullet"/>
      <w:lvlText w:val="o"/>
      <w:lvlJc w:val="left"/>
      <w:pPr>
        <w:ind w:left="1800" w:hanging="360"/>
      </w:pPr>
      <w:rPr>
        <w:rFonts w:ascii="Courier New" w:hAnsi="Courier New" w:hint="default"/>
      </w:rPr>
    </w:lvl>
    <w:lvl w:ilvl="2" w:tplc="25FCB526">
      <w:start w:val="1"/>
      <w:numFmt w:val="bullet"/>
      <w:lvlText w:val=""/>
      <w:lvlJc w:val="left"/>
      <w:pPr>
        <w:ind w:left="2520" w:hanging="360"/>
      </w:pPr>
      <w:rPr>
        <w:rFonts w:ascii="Wingdings" w:hAnsi="Wingdings" w:hint="default"/>
      </w:rPr>
    </w:lvl>
    <w:lvl w:ilvl="3" w:tplc="2202FD36">
      <w:start w:val="1"/>
      <w:numFmt w:val="bullet"/>
      <w:lvlText w:val=""/>
      <w:lvlJc w:val="left"/>
      <w:pPr>
        <w:ind w:left="3240" w:hanging="360"/>
      </w:pPr>
      <w:rPr>
        <w:rFonts w:ascii="Symbol" w:hAnsi="Symbol" w:hint="default"/>
      </w:rPr>
    </w:lvl>
    <w:lvl w:ilvl="4" w:tplc="CEAE847A">
      <w:start w:val="1"/>
      <w:numFmt w:val="bullet"/>
      <w:lvlText w:val="o"/>
      <w:lvlJc w:val="left"/>
      <w:pPr>
        <w:ind w:left="3960" w:hanging="360"/>
      </w:pPr>
      <w:rPr>
        <w:rFonts w:ascii="Courier New" w:hAnsi="Courier New" w:hint="default"/>
      </w:rPr>
    </w:lvl>
    <w:lvl w:ilvl="5" w:tplc="E5AECF34">
      <w:start w:val="1"/>
      <w:numFmt w:val="bullet"/>
      <w:lvlText w:val=""/>
      <w:lvlJc w:val="left"/>
      <w:pPr>
        <w:ind w:left="4680" w:hanging="360"/>
      </w:pPr>
      <w:rPr>
        <w:rFonts w:ascii="Wingdings" w:hAnsi="Wingdings" w:hint="default"/>
      </w:rPr>
    </w:lvl>
    <w:lvl w:ilvl="6" w:tplc="B7E2C748">
      <w:start w:val="1"/>
      <w:numFmt w:val="bullet"/>
      <w:lvlText w:val=""/>
      <w:lvlJc w:val="left"/>
      <w:pPr>
        <w:ind w:left="5400" w:hanging="360"/>
      </w:pPr>
      <w:rPr>
        <w:rFonts w:ascii="Symbol" w:hAnsi="Symbol" w:hint="default"/>
      </w:rPr>
    </w:lvl>
    <w:lvl w:ilvl="7" w:tplc="B2B2D6E8">
      <w:start w:val="1"/>
      <w:numFmt w:val="bullet"/>
      <w:lvlText w:val="o"/>
      <w:lvlJc w:val="left"/>
      <w:pPr>
        <w:ind w:left="6120" w:hanging="360"/>
      </w:pPr>
      <w:rPr>
        <w:rFonts w:ascii="Courier New" w:hAnsi="Courier New" w:hint="default"/>
      </w:rPr>
    </w:lvl>
    <w:lvl w:ilvl="8" w:tplc="3FF0361A">
      <w:start w:val="1"/>
      <w:numFmt w:val="bullet"/>
      <w:lvlText w:val=""/>
      <w:lvlJc w:val="left"/>
      <w:pPr>
        <w:ind w:left="6840" w:hanging="360"/>
      </w:pPr>
      <w:rPr>
        <w:rFonts w:ascii="Wingdings" w:hAnsi="Wingdings" w:hint="default"/>
      </w:rPr>
    </w:lvl>
  </w:abstractNum>
  <w:abstractNum w:abstractNumId="6" w15:restartNumberingAfterBreak="0">
    <w:nsid w:val="21A328D5"/>
    <w:multiLevelType w:val="multilevel"/>
    <w:tmpl w:val="9340AC4C"/>
    <w:numStyleLink w:val="Numberlist"/>
  </w:abstractNum>
  <w:abstractNum w:abstractNumId="7" w15:restartNumberingAfterBreak="0">
    <w:nsid w:val="27C9CACC"/>
    <w:multiLevelType w:val="hybridMultilevel"/>
    <w:tmpl w:val="FFFFFFFF"/>
    <w:lvl w:ilvl="0" w:tplc="44EC626C">
      <w:start w:val="1"/>
      <w:numFmt w:val="bullet"/>
      <w:lvlText w:val=""/>
      <w:lvlJc w:val="left"/>
      <w:pPr>
        <w:ind w:left="720" w:hanging="360"/>
      </w:pPr>
      <w:rPr>
        <w:rFonts w:ascii="Symbol" w:hAnsi="Symbol" w:hint="default"/>
      </w:rPr>
    </w:lvl>
    <w:lvl w:ilvl="1" w:tplc="57A0F68A">
      <w:start w:val="1"/>
      <w:numFmt w:val="bullet"/>
      <w:lvlText w:val="o"/>
      <w:lvlJc w:val="left"/>
      <w:pPr>
        <w:ind w:left="1440" w:hanging="360"/>
      </w:pPr>
      <w:rPr>
        <w:rFonts w:ascii="Courier New" w:hAnsi="Courier New" w:hint="default"/>
      </w:rPr>
    </w:lvl>
    <w:lvl w:ilvl="2" w:tplc="A53A0F40">
      <w:start w:val="1"/>
      <w:numFmt w:val="bullet"/>
      <w:lvlText w:val=""/>
      <w:lvlJc w:val="left"/>
      <w:pPr>
        <w:ind w:left="2160" w:hanging="360"/>
      </w:pPr>
      <w:rPr>
        <w:rFonts w:ascii="Wingdings" w:hAnsi="Wingdings" w:hint="default"/>
      </w:rPr>
    </w:lvl>
    <w:lvl w:ilvl="3" w:tplc="4CCA6944">
      <w:start w:val="1"/>
      <w:numFmt w:val="bullet"/>
      <w:lvlText w:val=""/>
      <w:lvlJc w:val="left"/>
      <w:pPr>
        <w:ind w:left="2880" w:hanging="360"/>
      </w:pPr>
      <w:rPr>
        <w:rFonts w:ascii="Symbol" w:hAnsi="Symbol" w:hint="default"/>
      </w:rPr>
    </w:lvl>
    <w:lvl w:ilvl="4" w:tplc="BADE865A">
      <w:start w:val="1"/>
      <w:numFmt w:val="bullet"/>
      <w:lvlText w:val="o"/>
      <w:lvlJc w:val="left"/>
      <w:pPr>
        <w:ind w:left="3600" w:hanging="360"/>
      </w:pPr>
      <w:rPr>
        <w:rFonts w:ascii="Courier New" w:hAnsi="Courier New" w:hint="default"/>
      </w:rPr>
    </w:lvl>
    <w:lvl w:ilvl="5" w:tplc="A280B306">
      <w:start w:val="1"/>
      <w:numFmt w:val="bullet"/>
      <w:lvlText w:val=""/>
      <w:lvlJc w:val="left"/>
      <w:pPr>
        <w:ind w:left="4320" w:hanging="360"/>
      </w:pPr>
      <w:rPr>
        <w:rFonts w:ascii="Wingdings" w:hAnsi="Wingdings" w:hint="default"/>
      </w:rPr>
    </w:lvl>
    <w:lvl w:ilvl="6" w:tplc="96363E6C">
      <w:start w:val="1"/>
      <w:numFmt w:val="bullet"/>
      <w:lvlText w:val=""/>
      <w:lvlJc w:val="left"/>
      <w:pPr>
        <w:ind w:left="5040" w:hanging="360"/>
      </w:pPr>
      <w:rPr>
        <w:rFonts w:ascii="Symbol" w:hAnsi="Symbol" w:hint="default"/>
      </w:rPr>
    </w:lvl>
    <w:lvl w:ilvl="7" w:tplc="27FAE624">
      <w:start w:val="1"/>
      <w:numFmt w:val="bullet"/>
      <w:lvlText w:val="o"/>
      <w:lvlJc w:val="left"/>
      <w:pPr>
        <w:ind w:left="5760" w:hanging="360"/>
      </w:pPr>
      <w:rPr>
        <w:rFonts w:ascii="Courier New" w:hAnsi="Courier New" w:hint="default"/>
      </w:rPr>
    </w:lvl>
    <w:lvl w:ilvl="8" w:tplc="AED6CDFC">
      <w:start w:val="1"/>
      <w:numFmt w:val="bullet"/>
      <w:lvlText w:val=""/>
      <w:lvlJc w:val="left"/>
      <w:pPr>
        <w:ind w:left="6480" w:hanging="360"/>
      </w:pPr>
      <w:rPr>
        <w:rFonts w:ascii="Wingdings" w:hAnsi="Wingdings" w:hint="default"/>
      </w:rPr>
    </w:lvl>
  </w:abstractNum>
  <w:abstractNum w:abstractNumId="8" w15:restartNumberingAfterBreak="0">
    <w:nsid w:val="32AD72D1"/>
    <w:multiLevelType w:val="hybridMultilevel"/>
    <w:tmpl w:val="FFFFFFFF"/>
    <w:lvl w:ilvl="0" w:tplc="9390A6C4">
      <w:start w:val="1"/>
      <w:numFmt w:val="bullet"/>
      <w:lvlText w:val=""/>
      <w:lvlJc w:val="left"/>
      <w:pPr>
        <w:ind w:left="720" w:hanging="360"/>
      </w:pPr>
      <w:rPr>
        <w:rFonts w:ascii="Symbol" w:hAnsi="Symbol" w:hint="default"/>
      </w:rPr>
    </w:lvl>
    <w:lvl w:ilvl="1" w:tplc="5CEC3F3A">
      <w:start w:val="1"/>
      <w:numFmt w:val="bullet"/>
      <w:lvlText w:val="o"/>
      <w:lvlJc w:val="left"/>
      <w:pPr>
        <w:ind w:left="1440" w:hanging="360"/>
      </w:pPr>
      <w:rPr>
        <w:rFonts w:ascii="Courier New" w:hAnsi="Courier New" w:hint="default"/>
      </w:rPr>
    </w:lvl>
    <w:lvl w:ilvl="2" w:tplc="0CBE1F66">
      <w:start w:val="1"/>
      <w:numFmt w:val="bullet"/>
      <w:lvlText w:val=""/>
      <w:lvlJc w:val="left"/>
      <w:pPr>
        <w:ind w:left="2160" w:hanging="360"/>
      </w:pPr>
      <w:rPr>
        <w:rFonts w:ascii="Wingdings" w:hAnsi="Wingdings" w:hint="default"/>
      </w:rPr>
    </w:lvl>
    <w:lvl w:ilvl="3" w:tplc="0B16B224">
      <w:start w:val="1"/>
      <w:numFmt w:val="bullet"/>
      <w:lvlText w:val=""/>
      <w:lvlJc w:val="left"/>
      <w:pPr>
        <w:ind w:left="2880" w:hanging="360"/>
      </w:pPr>
      <w:rPr>
        <w:rFonts w:ascii="Symbol" w:hAnsi="Symbol" w:hint="default"/>
      </w:rPr>
    </w:lvl>
    <w:lvl w:ilvl="4" w:tplc="990AAEAC">
      <w:start w:val="1"/>
      <w:numFmt w:val="bullet"/>
      <w:lvlText w:val="o"/>
      <w:lvlJc w:val="left"/>
      <w:pPr>
        <w:ind w:left="3600" w:hanging="360"/>
      </w:pPr>
      <w:rPr>
        <w:rFonts w:ascii="Courier New" w:hAnsi="Courier New" w:hint="default"/>
      </w:rPr>
    </w:lvl>
    <w:lvl w:ilvl="5" w:tplc="81AC2858">
      <w:start w:val="1"/>
      <w:numFmt w:val="bullet"/>
      <w:lvlText w:val=""/>
      <w:lvlJc w:val="left"/>
      <w:pPr>
        <w:ind w:left="4320" w:hanging="360"/>
      </w:pPr>
      <w:rPr>
        <w:rFonts w:ascii="Wingdings" w:hAnsi="Wingdings" w:hint="default"/>
      </w:rPr>
    </w:lvl>
    <w:lvl w:ilvl="6" w:tplc="2E8E490C">
      <w:start w:val="1"/>
      <w:numFmt w:val="bullet"/>
      <w:lvlText w:val=""/>
      <w:lvlJc w:val="left"/>
      <w:pPr>
        <w:ind w:left="5040" w:hanging="360"/>
      </w:pPr>
      <w:rPr>
        <w:rFonts w:ascii="Symbol" w:hAnsi="Symbol" w:hint="default"/>
      </w:rPr>
    </w:lvl>
    <w:lvl w:ilvl="7" w:tplc="C24C63BA">
      <w:start w:val="1"/>
      <w:numFmt w:val="bullet"/>
      <w:lvlText w:val="o"/>
      <w:lvlJc w:val="left"/>
      <w:pPr>
        <w:ind w:left="5760" w:hanging="360"/>
      </w:pPr>
      <w:rPr>
        <w:rFonts w:ascii="Courier New" w:hAnsi="Courier New" w:hint="default"/>
      </w:rPr>
    </w:lvl>
    <w:lvl w:ilvl="8" w:tplc="60749B76">
      <w:start w:val="1"/>
      <w:numFmt w:val="bullet"/>
      <w:lvlText w:val=""/>
      <w:lvlJc w:val="left"/>
      <w:pPr>
        <w:ind w:left="6480" w:hanging="360"/>
      </w:pPr>
      <w:rPr>
        <w:rFonts w:ascii="Wingdings" w:hAnsi="Wingdings" w:hint="default"/>
      </w:rPr>
    </w:lvl>
  </w:abstractNum>
  <w:abstractNum w:abstractNumId="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ACE058E"/>
    <w:multiLevelType w:val="hybridMultilevel"/>
    <w:tmpl w:val="6FEE74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394F52"/>
    <w:multiLevelType w:val="multilevel"/>
    <w:tmpl w:val="A094DC40"/>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o"/>
      <w:lvlJc w:val="left"/>
      <w:pPr>
        <w:tabs>
          <w:tab w:val="num" w:pos="1440"/>
        </w:tabs>
        <w:ind w:left="1800" w:hanging="360"/>
      </w:pPr>
      <w:rPr>
        <w:rFonts w:ascii="Courier New" w:hAnsi="Courier New" w:hint="default"/>
        <w:sz w:val="20"/>
      </w:rPr>
    </w:lvl>
    <w:lvl w:ilvl="2" w:tentative="1">
      <w:start w:val="1"/>
      <w:numFmt w:val="bullet"/>
      <w:lvlText w:val=""/>
      <w:lvlJc w:val="left"/>
      <w:pPr>
        <w:tabs>
          <w:tab w:val="num" w:pos="2160"/>
        </w:tabs>
        <w:ind w:left="2520" w:hanging="360"/>
      </w:pPr>
      <w:rPr>
        <w:rFonts w:ascii="Wingdings" w:hAnsi="Wingdings" w:hint="default"/>
        <w:sz w:val="20"/>
      </w:rPr>
    </w:lvl>
    <w:lvl w:ilvl="3" w:tentative="1">
      <w:start w:val="1"/>
      <w:numFmt w:val="bullet"/>
      <w:lvlText w:val=""/>
      <w:lvlJc w:val="left"/>
      <w:pPr>
        <w:tabs>
          <w:tab w:val="num" w:pos="2880"/>
        </w:tabs>
        <w:ind w:left="3240" w:hanging="360"/>
      </w:pPr>
      <w:rPr>
        <w:rFonts w:ascii="Wingdings" w:hAnsi="Wingdings" w:hint="default"/>
        <w:sz w:val="20"/>
      </w:rPr>
    </w:lvl>
    <w:lvl w:ilvl="4" w:tentative="1">
      <w:start w:val="1"/>
      <w:numFmt w:val="bullet"/>
      <w:lvlText w:val=""/>
      <w:lvlJc w:val="left"/>
      <w:pPr>
        <w:tabs>
          <w:tab w:val="num" w:pos="3600"/>
        </w:tabs>
        <w:ind w:left="3960" w:hanging="360"/>
      </w:pPr>
      <w:rPr>
        <w:rFonts w:ascii="Wingdings" w:hAnsi="Wingdings" w:hint="default"/>
        <w:sz w:val="20"/>
      </w:rPr>
    </w:lvl>
    <w:lvl w:ilvl="5" w:tentative="1">
      <w:start w:val="1"/>
      <w:numFmt w:val="bullet"/>
      <w:lvlText w:val=""/>
      <w:lvlJc w:val="left"/>
      <w:pPr>
        <w:tabs>
          <w:tab w:val="num" w:pos="4320"/>
        </w:tabs>
        <w:ind w:left="4680" w:hanging="360"/>
      </w:pPr>
      <w:rPr>
        <w:rFonts w:ascii="Wingdings" w:hAnsi="Wingdings" w:hint="default"/>
        <w:sz w:val="20"/>
      </w:rPr>
    </w:lvl>
    <w:lvl w:ilvl="6" w:tentative="1">
      <w:start w:val="1"/>
      <w:numFmt w:val="bullet"/>
      <w:lvlText w:val=""/>
      <w:lvlJc w:val="left"/>
      <w:pPr>
        <w:tabs>
          <w:tab w:val="num" w:pos="5040"/>
        </w:tabs>
        <w:ind w:left="5400" w:hanging="360"/>
      </w:pPr>
      <w:rPr>
        <w:rFonts w:ascii="Wingdings" w:hAnsi="Wingdings" w:hint="default"/>
        <w:sz w:val="20"/>
      </w:rPr>
    </w:lvl>
    <w:lvl w:ilvl="7" w:tentative="1">
      <w:start w:val="1"/>
      <w:numFmt w:val="bullet"/>
      <w:lvlText w:val=""/>
      <w:lvlJc w:val="left"/>
      <w:pPr>
        <w:tabs>
          <w:tab w:val="num" w:pos="5760"/>
        </w:tabs>
        <w:ind w:left="6120" w:hanging="360"/>
      </w:pPr>
      <w:rPr>
        <w:rFonts w:ascii="Wingdings" w:hAnsi="Wingdings" w:hint="default"/>
        <w:sz w:val="20"/>
      </w:rPr>
    </w:lvl>
    <w:lvl w:ilvl="8" w:tentative="1">
      <w:start w:val="1"/>
      <w:numFmt w:val="bullet"/>
      <w:lvlText w:val=""/>
      <w:lvlJc w:val="left"/>
      <w:pPr>
        <w:tabs>
          <w:tab w:val="num" w:pos="6480"/>
        </w:tabs>
        <w:ind w:left="6840" w:hanging="360"/>
      </w:pPr>
      <w:rPr>
        <w:rFonts w:ascii="Wingdings" w:hAnsi="Wingdings" w:hint="default"/>
        <w:sz w:val="20"/>
      </w:rPr>
    </w:lvl>
  </w:abstractNum>
  <w:abstractNum w:abstractNumId="1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8B541B"/>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47AAA7EE"/>
    <w:styleLink w:val="List1"/>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8A72910"/>
    <w:multiLevelType w:val="hybridMultilevel"/>
    <w:tmpl w:val="FFFFFFFF"/>
    <w:lvl w:ilvl="0" w:tplc="E45AE726">
      <w:start w:val="1"/>
      <w:numFmt w:val="bullet"/>
      <w:lvlText w:val=""/>
      <w:lvlJc w:val="left"/>
      <w:pPr>
        <w:ind w:left="720" w:hanging="360"/>
      </w:pPr>
      <w:rPr>
        <w:rFonts w:ascii="Symbol" w:hAnsi="Symbol" w:hint="default"/>
      </w:rPr>
    </w:lvl>
    <w:lvl w:ilvl="1" w:tplc="3F6CA610">
      <w:start w:val="1"/>
      <w:numFmt w:val="bullet"/>
      <w:lvlText w:val="o"/>
      <w:lvlJc w:val="left"/>
      <w:pPr>
        <w:ind w:left="1440" w:hanging="360"/>
      </w:pPr>
      <w:rPr>
        <w:rFonts w:ascii="Courier New" w:hAnsi="Courier New" w:hint="default"/>
      </w:rPr>
    </w:lvl>
    <w:lvl w:ilvl="2" w:tplc="1E10A26E">
      <w:start w:val="1"/>
      <w:numFmt w:val="bullet"/>
      <w:lvlText w:val=""/>
      <w:lvlJc w:val="left"/>
      <w:pPr>
        <w:ind w:left="2160" w:hanging="360"/>
      </w:pPr>
      <w:rPr>
        <w:rFonts w:ascii="Wingdings" w:hAnsi="Wingdings" w:hint="default"/>
      </w:rPr>
    </w:lvl>
    <w:lvl w:ilvl="3" w:tplc="EB00FF52">
      <w:start w:val="1"/>
      <w:numFmt w:val="bullet"/>
      <w:lvlText w:val=""/>
      <w:lvlJc w:val="left"/>
      <w:pPr>
        <w:ind w:left="2880" w:hanging="360"/>
      </w:pPr>
      <w:rPr>
        <w:rFonts w:ascii="Symbol" w:hAnsi="Symbol" w:hint="default"/>
      </w:rPr>
    </w:lvl>
    <w:lvl w:ilvl="4" w:tplc="73B0C972">
      <w:start w:val="1"/>
      <w:numFmt w:val="bullet"/>
      <w:lvlText w:val="o"/>
      <w:lvlJc w:val="left"/>
      <w:pPr>
        <w:ind w:left="3600" w:hanging="360"/>
      </w:pPr>
      <w:rPr>
        <w:rFonts w:ascii="Courier New" w:hAnsi="Courier New" w:hint="default"/>
      </w:rPr>
    </w:lvl>
    <w:lvl w:ilvl="5" w:tplc="D176229A">
      <w:start w:val="1"/>
      <w:numFmt w:val="bullet"/>
      <w:lvlText w:val=""/>
      <w:lvlJc w:val="left"/>
      <w:pPr>
        <w:ind w:left="4320" w:hanging="360"/>
      </w:pPr>
      <w:rPr>
        <w:rFonts w:ascii="Wingdings" w:hAnsi="Wingdings" w:hint="default"/>
      </w:rPr>
    </w:lvl>
    <w:lvl w:ilvl="6" w:tplc="FA0EA218">
      <w:start w:val="1"/>
      <w:numFmt w:val="bullet"/>
      <w:lvlText w:val=""/>
      <w:lvlJc w:val="left"/>
      <w:pPr>
        <w:ind w:left="5040" w:hanging="360"/>
      </w:pPr>
      <w:rPr>
        <w:rFonts w:ascii="Symbol" w:hAnsi="Symbol" w:hint="default"/>
      </w:rPr>
    </w:lvl>
    <w:lvl w:ilvl="7" w:tplc="EA74E430">
      <w:start w:val="1"/>
      <w:numFmt w:val="bullet"/>
      <w:lvlText w:val="o"/>
      <w:lvlJc w:val="left"/>
      <w:pPr>
        <w:ind w:left="5760" w:hanging="360"/>
      </w:pPr>
      <w:rPr>
        <w:rFonts w:ascii="Courier New" w:hAnsi="Courier New" w:hint="default"/>
      </w:rPr>
    </w:lvl>
    <w:lvl w:ilvl="8" w:tplc="90E64C0E">
      <w:start w:val="1"/>
      <w:numFmt w:val="bullet"/>
      <w:lvlText w:val=""/>
      <w:lvlJc w:val="left"/>
      <w:pPr>
        <w:ind w:left="6480" w:hanging="360"/>
      </w:pPr>
      <w:rPr>
        <w:rFonts w:ascii="Wingdings" w:hAnsi="Wingdings" w:hint="default"/>
      </w:rPr>
    </w:lvl>
  </w:abstractNum>
  <w:abstractNum w:abstractNumId="17" w15:restartNumberingAfterBreak="0">
    <w:nsid w:val="6A4CD5BE"/>
    <w:multiLevelType w:val="hybridMultilevel"/>
    <w:tmpl w:val="FFFFFFFF"/>
    <w:lvl w:ilvl="0" w:tplc="DE889BF4">
      <w:start w:val="1"/>
      <w:numFmt w:val="bullet"/>
      <w:lvlText w:val=""/>
      <w:lvlJc w:val="left"/>
      <w:pPr>
        <w:ind w:left="720" w:hanging="360"/>
      </w:pPr>
      <w:rPr>
        <w:rFonts w:ascii="Symbol" w:hAnsi="Symbol" w:hint="default"/>
      </w:rPr>
    </w:lvl>
    <w:lvl w:ilvl="1" w:tplc="548C0CA4">
      <w:start w:val="1"/>
      <w:numFmt w:val="bullet"/>
      <w:lvlText w:val="o"/>
      <w:lvlJc w:val="left"/>
      <w:pPr>
        <w:ind w:left="1440" w:hanging="360"/>
      </w:pPr>
      <w:rPr>
        <w:rFonts w:ascii="Courier New" w:hAnsi="Courier New" w:hint="default"/>
      </w:rPr>
    </w:lvl>
    <w:lvl w:ilvl="2" w:tplc="419C6E64">
      <w:start w:val="1"/>
      <w:numFmt w:val="bullet"/>
      <w:lvlText w:val=""/>
      <w:lvlJc w:val="left"/>
      <w:pPr>
        <w:ind w:left="2160" w:hanging="360"/>
      </w:pPr>
      <w:rPr>
        <w:rFonts w:ascii="Wingdings" w:hAnsi="Wingdings" w:hint="default"/>
      </w:rPr>
    </w:lvl>
    <w:lvl w:ilvl="3" w:tplc="574C715E">
      <w:start w:val="1"/>
      <w:numFmt w:val="bullet"/>
      <w:lvlText w:val=""/>
      <w:lvlJc w:val="left"/>
      <w:pPr>
        <w:ind w:left="2880" w:hanging="360"/>
      </w:pPr>
      <w:rPr>
        <w:rFonts w:ascii="Symbol" w:hAnsi="Symbol" w:hint="default"/>
      </w:rPr>
    </w:lvl>
    <w:lvl w:ilvl="4" w:tplc="7FCAFDDA">
      <w:start w:val="1"/>
      <w:numFmt w:val="bullet"/>
      <w:lvlText w:val="o"/>
      <w:lvlJc w:val="left"/>
      <w:pPr>
        <w:ind w:left="3600" w:hanging="360"/>
      </w:pPr>
      <w:rPr>
        <w:rFonts w:ascii="Courier New" w:hAnsi="Courier New" w:hint="default"/>
      </w:rPr>
    </w:lvl>
    <w:lvl w:ilvl="5" w:tplc="345C26CE">
      <w:start w:val="1"/>
      <w:numFmt w:val="bullet"/>
      <w:lvlText w:val=""/>
      <w:lvlJc w:val="left"/>
      <w:pPr>
        <w:ind w:left="4320" w:hanging="360"/>
      </w:pPr>
      <w:rPr>
        <w:rFonts w:ascii="Wingdings" w:hAnsi="Wingdings" w:hint="default"/>
      </w:rPr>
    </w:lvl>
    <w:lvl w:ilvl="6" w:tplc="2EAABD20">
      <w:start w:val="1"/>
      <w:numFmt w:val="bullet"/>
      <w:lvlText w:val=""/>
      <w:lvlJc w:val="left"/>
      <w:pPr>
        <w:ind w:left="5040" w:hanging="360"/>
      </w:pPr>
      <w:rPr>
        <w:rFonts w:ascii="Symbol" w:hAnsi="Symbol" w:hint="default"/>
      </w:rPr>
    </w:lvl>
    <w:lvl w:ilvl="7" w:tplc="2D4E6A38">
      <w:start w:val="1"/>
      <w:numFmt w:val="bullet"/>
      <w:lvlText w:val="o"/>
      <w:lvlJc w:val="left"/>
      <w:pPr>
        <w:ind w:left="5760" w:hanging="360"/>
      </w:pPr>
      <w:rPr>
        <w:rFonts w:ascii="Courier New" w:hAnsi="Courier New" w:hint="default"/>
      </w:rPr>
    </w:lvl>
    <w:lvl w:ilvl="8" w:tplc="7B8C26C6">
      <w:start w:val="1"/>
      <w:numFmt w:val="bullet"/>
      <w:lvlText w:val=""/>
      <w:lvlJc w:val="left"/>
      <w:pPr>
        <w:ind w:left="6480" w:hanging="360"/>
      </w:pPr>
      <w:rPr>
        <w:rFonts w:ascii="Wingdings" w:hAnsi="Wingdings" w:hint="default"/>
      </w:rPr>
    </w:lvl>
  </w:abstractNum>
  <w:num w:numId="1" w16cid:durableId="1391002950">
    <w:abstractNumId w:val="9"/>
  </w:num>
  <w:num w:numId="2" w16cid:durableId="1905025752">
    <w:abstractNumId w:val="14"/>
  </w:num>
  <w:num w:numId="3" w16cid:durableId="320934746">
    <w:abstractNumId w:val="15"/>
  </w:num>
  <w:num w:numId="4" w16cid:durableId="2077165610">
    <w:abstractNumId w:val="3"/>
  </w:num>
  <w:num w:numId="5" w16cid:durableId="1083186383">
    <w:abstractNumId w:val="0"/>
  </w:num>
  <w:num w:numId="6" w16cid:durableId="595596255">
    <w:abstractNumId w:val="12"/>
  </w:num>
  <w:num w:numId="7" w16cid:durableId="90051860">
    <w:abstractNumId w:val="13"/>
  </w:num>
  <w:num w:numId="8" w16cid:durableId="735130269">
    <w:abstractNumId w:val="4"/>
  </w:num>
  <w:num w:numId="9" w16cid:durableId="2145081121">
    <w:abstractNumId w:val="6"/>
  </w:num>
  <w:num w:numId="10" w16cid:durableId="2129542716">
    <w:abstractNumId w:val="10"/>
  </w:num>
  <w:num w:numId="11" w16cid:durableId="1036662699">
    <w:abstractNumId w:val="17"/>
  </w:num>
  <w:num w:numId="12" w16cid:durableId="215630179">
    <w:abstractNumId w:val="2"/>
  </w:num>
  <w:num w:numId="13" w16cid:durableId="1958100185">
    <w:abstractNumId w:val="16"/>
  </w:num>
  <w:num w:numId="14" w16cid:durableId="1269434353">
    <w:abstractNumId w:val="5"/>
  </w:num>
  <w:num w:numId="15" w16cid:durableId="1172835767">
    <w:abstractNumId w:val="8"/>
  </w:num>
  <w:num w:numId="16" w16cid:durableId="749156528">
    <w:abstractNumId w:val="7"/>
  </w:num>
  <w:num w:numId="17" w16cid:durableId="141850308">
    <w:abstractNumId w:val="11"/>
  </w:num>
  <w:num w:numId="18" w16cid:durableId="178114506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C5D"/>
    <w:rsid w:val="0000059E"/>
    <w:rsid w:val="0000066F"/>
    <w:rsid w:val="000013D2"/>
    <w:rsid w:val="0000682E"/>
    <w:rsid w:val="000141F7"/>
    <w:rsid w:val="000207AF"/>
    <w:rsid w:val="00021590"/>
    <w:rsid w:val="00023581"/>
    <w:rsid w:val="00024972"/>
    <w:rsid w:val="00025D1B"/>
    <w:rsid w:val="000262FF"/>
    <w:rsid w:val="000266C4"/>
    <w:rsid w:val="00026D14"/>
    <w:rsid w:val="0002749D"/>
    <w:rsid w:val="0002792A"/>
    <w:rsid w:val="00031FAC"/>
    <w:rsid w:val="00036819"/>
    <w:rsid w:val="0004122D"/>
    <w:rsid w:val="00042CB4"/>
    <w:rsid w:val="00043208"/>
    <w:rsid w:val="0004472E"/>
    <w:rsid w:val="000527BE"/>
    <w:rsid w:val="00052A63"/>
    <w:rsid w:val="000542B4"/>
    <w:rsid w:val="00054BD2"/>
    <w:rsid w:val="00054CE6"/>
    <w:rsid w:val="00054D70"/>
    <w:rsid w:val="000559FE"/>
    <w:rsid w:val="00055C0D"/>
    <w:rsid w:val="000618F3"/>
    <w:rsid w:val="000662CF"/>
    <w:rsid w:val="00066D0B"/>
    <w:rsid w:val="00067DF1"/>
    <w:rsid w:val="000717D2"/>
    <w:rsid w:val="00071CEF"/>
    <w:rsid w:val="00074A56"/>
    <w:rsid w:val="0007770D"/>
    <w:rsid w:val="00080827"/>
    <w:rsid w:val="0008277A"/>
    <w:rsid w:val="00082FE2"/>
    <w:rsid w:val="00084108"/>
    <w:rsid w:val="00085735"/>
    <w:rsid w:val="00085AC5"/>
    <w:rsid w:val="0008669D"/>
    <w:rsid w:val="000904C1"/>
    <w:rsid w:val="000913B5"/>
    <w:rsid w:val="000935B2"/>
    <w:rsid w:val="000964C4"/>
    <w:rsid w:val="00096A60"/>
    <w:rsid w:val="000A1B59"/>
    <w:rsid w:val="000A2FDB"/>
    <w:rsid w:val="000A3AAC"/>
    <w:rsid w:val="000A5A4C"/>
    <w:rsid w:val="000A5A98"/>
    <w:rsid w:val="000A5BA0"/>
    <w:rsid w:val="000A5E54"/>
    <w:rsid w:val="000A6EA1"/>
    <w:rsid w:val="000B3924"/>
    <w:rsid w:val="000B3C44"/>
    <w:rsid w:val="000C0412"/>
    <w:rsid w:val="000C3E40"/>
    <w:rsid w:val="000C4228"/>
    <w:rsid w:val="000C4558"/>
    <w:rsid w:val="000C5ECE"/>
    <w:rsid w:val="000C77FE"/>
    <w:rsid w:val="000D0CC1"/>
    <w:rsid w:val="000D0F35"/>
    <w:rsid w:val="000D2AA4"/>
    <w:rsid w:val="000D736D"/>
    <w:rsid w:val="000E455C"/>
    <w:rsid w:val="000E5045"/>
    <w:rsid w:val="000E7803"/>
    <w:rsid w:val="000F0491"/>
    <w:rsid w:val="000F6A99"/>
    <w:rsid w:val="00100239"/>
    <w:rsid w:val="001038F9"/>
    <w:rsid w:val="00103D25"/>
    <w:rsid w:val="00106B7A"/>
    <w:rsid w:val="00107D94"/>
    <w:rsid w:val="00110553"/>
    <w:rsid w:val="00111D42"/>
    <w:rsid w:val="00112705"/>
    <w:rsid w:val="0011357E"/>
    <w:rsid w:val="001233A8"/>
    <w:rsid w:val="00125DC5"/>
    <w:rsid w:val="00131085"/>
    <w:rsid w:val="0013173D"/>
    <w:rsid w:val="00134373"/>
    <w:rsid w:val="00136097"/>
    <w:rsid w:val="00137668"/>
    <w:rsid w:val="00141F39"/>
    <w:rsid w:val="00142A69"/>
    <w:rsid w:val="00143D99"/>
    <w:rsid w:val="00146461"/>
    <w:rsid w:val="001525FC"/>
    <w:rsid w:val="00155E5F"/>
    <w:rsid w:val="001561EC"/>
    <w:rsid w:val="00170BFD"/>
    <w:rsid w:val="00171315"/>
    <w:rsid w:val="00172658"/>
    <w:rsid w:val="00173360"/>
    <w:rsid w:val="001761E7"/>
    <w:rsid w:val="00180DBE"/>
    <w:rsid w:val="00190D7E"/>
    <w:rsid w:val="001929D2"/>
    <w:rsid w:val="00193D72"/>
    <w:rsid w:val="00194753"/>
    <w:rsid w:val="001A14AE"/>
    <w:rsid w:val="001A1A00"/>
    <w:rsid w:val="001A238C"/>
    <w:rsid w:val="001A5BE1"/>
    <w:rsid w:val="001A6968"/>
    <w:rsid w:val="001A6C36"/>
    <w:rsid w:val="001B30C7"/>
    <w:rsid w:val="001B49E3"/>
    <w:rsid w:val="001B4C5D"/>
    <w:rsid w:val="001C3E81"/>
    <w:rsid w:val="001D026B"/>
    <w:rsid w:val="001D0B81"/>
    <w:rsid w:val="001D0EF3"/>
    <w:rsid w:val="001D1076"/>
    <w:rsid w:val="001D2F0A"/>
    <w:rsid w:val="001D396C"/>
    <w:rsid w:val="001D6373"/>
    <w:rsid w:val="001E000F"/>
    <w:rsid w:val="001E09C3"/>
    <w:rsid w:val="001E1A4D"/>
    <w:rsid w:val="001E1D6E"/>
    <w:rsid w:val="001E3B90"/>
    <w:rsid w:val="001E4498"/>
    <w:rsid w:val="001F2B1A"/>
    <w:rsid w:val="001F4DA1"/>
    <w:rsid w:val="001F57D1"/>
    <w:rsid w:val="001F5A16"/>
    <w:rsid w:val="001F6C6E"/>
    <w:rsid w:val="00202D32"/>
    <w:rsid w:val="00203059"/>
    <w:rsid w:val="00203A13"/>
    <w:rsid w:val="00203DE1"/>
    <w:rsid w:val="00206736"/>
    <w:rsid w:val="00210415"/>
    <w:rsid w:val="00212D11"/>
    <w:rsid w:val="0021727B"/>
    <w:rsid w:val="00220618"/>
    <w:rsid w:val="00224864"/>
    <w:rsid w:val="002328C9"/>
    <w:rsid w:val="00237A69"/>
    <w:rsid w:val="00240074"/>
    <w:rsid w:val="00241BFB"/>
    <w:rsid w:val="00244A8D"/>
    <w:rsid w:val="002451E8"/>
    <w:rsid w:val="002510F8"/>
    <w:rsid w:val="0025113D"/>
    <w:rsid w:val="0025379D"/>
    <w:rsid w:val="00254028"/>
    <w:rsid w:val="0025431E"/>
    <w:rsid w:val="00254806"/>
    <w:rsid w:val="00254D29"/>
    <w:rsid w:val="00272D04"/>
    <w:rsid w:val="00274007"/>
    <w:rsid w:val="002758A9"/>
    <w:rsid w:val="00275B58"/>
    <w:rsid w:val="00277367"/>
    <w:rsid w:val="002802A3"/>
    <w:rsid w:val="00281B2A"/>
    <w:rsid w:val="0028225B"/>
    <w:rsid w:val="00284B53"/>
    <w:rsid w:val="002942D7"/>
    <w:rsid w:val="002A0800"/>
    <w:rsid w:val="002A2C23"/>
    <w:rsid w:val="002A567E"/>
    <w:rsid w:val="002B1FAF"/>
    <w:rsid w:val="002B21B3"/>
    <w:rsid w:val="002B5671"/>
    <w:rsid w:val="002B5D4E"/>
    <w:rsid w:val="002C0DC1"/>
    <w:rsid w:val="002C3825"/>
    <w:rsid w:val="002C60B6"/>
    <w:rsid w:val="002D00D7"/>
    <w:rsid w:val="002D0579"/>
    <w:rsid w:val="002D0F49"/>
    <w:rsid w:val="002D1338"/>
    <w:rsid w:val="002D4194"/>
    <w:rsid w:val="002D6AB4"/>
    <w:rsid w:val="002E0DFE"/>
    <w:rsid w:val="002E3144"/>
    <w:rsid w:val="002E3FD4"/>
    <w:rsid w:val="002E797A"/>
    <w:rsid w:val="002E7CE3"/>
    <w:rsid w:val="002F053C"/>
    <w:rsid w:val="002F0A3F"/>
    <w:rsid w:val="002F0ABF"/>
    <w:rsid w:val="002F340C"/>
    <w:rsid w:val="002F4595"/>
    <w:rsid w:val="002F4B1A"/>
    <w:rsid w:val="002F6CB7"/>
    <w:rsid w:val="00300AFD"/>
    <w:rsid w:val="00301843"/>
    <w:rsid w:val="0030312A"/>
    <w:rsid w:val="003032C0"/>
    <w:rsid w:val="00303938"/>
    <w:rsid w:val="00305386"/>
    <w:rsid w:val="00307743"/>
    <w:rsid w:val="00322A26"/>
    <w:rsid w:val="00322CA1"/>
    <w:rsid w:val="00323DED"/>
    <w:rsid w:val="00325630"/>
    <w:rsid w:val="00327DA6"/>
    <w:rsid w:val="0033041A"/>
    <w:rsid w:val="00331AD9"/>
    <w:rsid w:val="00336B60"/>
    <w:rsid w:val="00340D71"/>
    <w:rsid w:val="00344994"/>
    <w:rsid w:val="00347B6F"/>
    <w:rsid w:val="0035108D"/>
    <w:rsid w:val="00351543"/>
    <w:rsid w:val="0035281F"/>
    <w:rsid w:val="003569F9"/>
    <w:rsid w:val="0036017C"/>
    <w:rsid w:val="00361A68"/>
    <w:rsid w:val="00366721"/>
    <w:rsid w:val="00370990"/>
    <w:rsid w:val="003724CD"/>
    <w:rsid w:val="0037698A"/>
    <w:rsid w:val="003817F9"/>
    <w:rsid w:val="00385384"/>
    <w:rsid w:val="003855EF"/>
    <w:rsid w:val="00386C74"/>
    <w:rsid w:val="00390707"/>
    <w:rsid w:val="00392124"/>
    <w:rsid w:val="003923A1"/>
    <w:rsid w:val="003937B8"/>
    <w:rsid w:val="003977DA"/>
    <w:rsid w:val="003A2A2C"/>
    <w:rsid w:val="003A4C45"/>
    <w:rsid w:val="003A6860"/>
    <w:rsid w:val="003A698A"/>
    <w:rsid w:val="003A6E64"/>
    <w:rsid w:val="003B2D3D"/>
    <w:rsid w:val="003B31D1"/>
    <w:rsid w:val="003B413E"/>
    <w:rsid w:val="003B4603"/>
    <w:rsid w:val="003C0080"/>
    <w:rsid w:val="003C1319"/>
    <w:rsid w:val="003C1D4B"/>
    <w:rsid w:val="003C35C2"/>
    <w:rsid w:val="003C420E"/>
    <w:rsid w:val="003D041C"/>
    <w:rsid w:val="003D6515"/>
    <w:rsid w:val="003D6D05"/>
    <w:rsid w:val="003E165C"/>
    <w:rsid w:val="003E2CB4"/>
    <w:rsid w:val="003E38AD"/>
    <w:rsid w:val="003E54CA"/>
    <w:rsid w:val="003E7C9E"/>
    <w:rsid w:val="003F00A5"/>
    <w:rsid w:val="003F0188"/>
    <w:rsid w:val="003F1788"/>
    <w:rsid w:val="003F2493"/>
    <w:rsid w:val="003F5AD8"/>
    <w:rsid w:val="003F5BF4"/>
    <w:rsid w:val="003F73D7"/>
    <w:rsid w:val="004058CB"/>
    <w:rsid w:val="00411260"/>
    <w:rsid w:val="00413CD9"/>
    <w:rsid w:val="00413DCD"/>
    <w:rsid w:val="0041466A"/>
    <w:rsid w:val="004166B5"/>
    <w:rsid w:val="00416C1A"/>
    <w:rsid w:val="004260A3"/>
    <w:rsid w:val="00431429"/>
    <w:rsid w:val="00431482"/>
    <w:rsid w:val="00431686"/>
    <w:rsid w:val="00435F7B"/>
    <w:rsid w:val="00440344"/>
    <w:rsid w:val="00441360"/>
    <w:rsid w:val="00442630"/>
    <w:rsid w:val="0044295D"/>
    <w:rsid w:val="0044304D"/>
    <w:rsid w:val="00444C7B"/>
    <w:rsid w:val="00444C8A"/>
    <w:rsid w:val="00445844"/>
    <w:rsid w:val="00446B81"/>
    <w:rsid w:val="00446CB3"/>
    <w:rsid w:val="0045040A"/>
    <w:rsid w:val="00450D38"/>
    <w:rsid w:val="00451304"/>
    <w:rsid w:val="00455C7E"/>
    <w:rsid w:val="00456225"/>
    <w:rsid w:val="00457BD6"/>
    <w:rsid w:val="00461A0C"/>
    <w:rsid w:val="00461C0C"/>
    <w:rsid w:val="004644B9"/>
    <w:rsid w:val="0046686E"/>
    <w:rsid w:val="00472040"/>
    <w:rsid w:val="00472DCF"/>
    <w:rsid w:val="00474BB1"/>
    <w:rsid w:val="00475864"/>
    <w:rsid w:val="00475A17"/>
    <w:rsid w:val="00480A4C"/>
    <w:rsid w:val="004814D7"/>
    <w:rsid w:val="00483CD9"/>
    <w:rsid w:val="00485775"/>
    <w:rsid w:val="00485C3E"/>
    <w:rsid w:val="00490BFF"/>
    <w:rsid w:val="00491DF5"/>
    <w:rsid w:val="00494077"/>
    <w:rsid w:val="00495068"/>
    <w:rsid w:val="00495FC3"/>
    <w:rsid w:val="004969E8"/>
    <w:rsid w:val="004A273A"/>
    <w:rsid w:val="004A72A2"/>
    <w:rsid w:val="004B35A2"/>
    <w:rsid w:val="004B438B"/>
    <w:rsid w:val="004C126D"/>
    <w:rsid w:val="004C2DA2"/>
    <w:rsid w:val="004C3871"/>
    <w:rsid w:val="004C4910"/>
    <w:rsid w:val="004D0888"/>
    <w:rsid w:val="004D33BA"/>
    <w:rsid w:val="004D41BE"/>
    <w:rsid w:val="004D4240"/>
    <w:rsid w:val="004D5939"/>
    <w:rsid w:val="004D6BD7"/>
    <w:rsid w:val="004E21DE"/>
    <w:rsid w:val="004E7E3E"/>
    <w:rsid w:val="004F43CF"/>
    <w:rsid w:val="004F54A5"/>
    <w:rsid w:val="005019C1"/>
    <w:rsid w:val="00503E8C"/>
    <w:rsid w:val="00506DF3"/>
    <w:rsid w:val="0050725F"/>
    <w:rsid w:val="00515287"/>
    <w:rsid w:val="005157CF"/>
    <w:rsid w:val="00517791"/>
    <w:rsid w:val="00527802"/>
    <w:rsid w:val="00530F83"/>
    <w:rsid w:val="00531367"/>
    <w:rsid w:val="00531B5A"/>
    <w:rsid w:val="00531D5C"/>
    <w:rsid w:val="00536DA4"/>
    <w:rsid w:val="00536DD5"/>
    <w:rsid w:val="00537621"/>
    <w:rsid w:val="00540317"/>
    <w:rsid w:val="0054069A"/>
    <w:rsid w:val="00540894"/>
    <w:rsid w:val="00541D45"/>
    <w:rsid w:val="00542822"/>
    <w:rsid w:val="005445B1"/>
    <w:rsid w:val="005457EA"/>
    <w:rsid w:val="0054671D"/>
    <w:rsid w:val="00550A42"/>
    <w:rsid w:val="00553E9D"/>
    <w:rsid w:val="0055447F"/>
    <w:rsid w:val="00560D35"/>
    <w:rsid w:val="00561731"/>
    <w:rsid w:val="0056403D"/>
    <w:rsid w:val="0056507D"/>
    <w:rsid w:val="0056543B"/>
    <w:rsid w:val="00567DFC"/>
    <w:rsid w:val="005704A9"/>
    <w:rsid w:val="00570ACF"/>
    <w:rsid w:val="005726B9"/>
    <w:rsid w:val="00572F89"/>
    <w:rsid w:val="00575B47"/>
    <w:rsid w:val="005760A2"/>
    <w:rsid w:val="00577F29"/>
    <w:rsid w:val="005843F2"/>
    <w:rsid w:val="00584C45"/>
    <w:rsid w:val="0058643A"/>
    <w:rsid w:val="0058662A"/>
    <w:rsid w:val="00591CE9"/>
    <w:rsid w:val="00591D6D"/>
    <w:rsid w:val="00592662"/>
    <w:rsid w:val="00596579"/>
    <w:rsid w:val="00597884"/>
    <w:rsid w:val="005A1F30"/>
    <w:rsid w:val="005A2DCA"/>
    <w:rsid w:val="005A48A6"/>
    <w:rsid w:val="005B14B3"/>
    <w:rsid w:val="005B157C"/>
    <w:rsid w:val="005B613F"/>
    <w:rsid w:val="005C24C2"/>
    <w:rsid w:val="005C2BFD"/>
    <w:rsid w:val="005C470D"/>
    <w:rsid w:val="005C55BC"/>
    <w:rsid w:val="005C6763"/>
    <w:rsid w:val="005D08EF"/>
    <w:rsid w:val="005D308C"/>
    <w:rsid w:val="005D510D"/>
    <w:rsid w:val="005D6EFE"/>
    <w:rsid w:val="005E064E"/>
    <w:rsid w:val="005E1DFB"/>
    <w:rsid w:val="005E5AC9"/>
    <w:rsid w:val="005E6511"/>
    <w:rsid w:val="005E6E8E"/>
    <w:rsid w:val="005F1771"/>
    <w:rsid w:val="005F7F5F"/>
    <w:rsid w:val="0060375A"/>
    <w:rsid w:val="006045F2"/>
    <w:rsid w:val="00607A21"/>
    <w:rsid w:val="00607A36"/>
    <w:rsid w:val="00607CC2"/>
    <w:rsid w:val="0061092E"/>
    <w:rsid w:val="00611578"/>
    <w:rsid w:val="00614156"/>
    <w:rsid w:val="006156DF"/>
    <w:rsid w:val="006252A2"/>
    <w:rsid w:val="00625D8D"/>
    <w:rsid w:val="0063237C"/>
    <w:rsid w:val="0063405B"/>
    <w:rsid w:val="006360F9"/>
    <w:rsid w:val="006371B7"/>
    <w:rsid w:val="00637A38"/>
    <w:rsid w:val="0064109E"/>
    <w:rsid w:val="00642F36"/>
    <w:rsid w:val="00643C5D"/>
    <w:rsid w:val="006445A7"/>
    <w:rsid w:val="006456BC"/>
    <w:rsid w:val="0064654C"/>
    <w:rsid w:val="00646917"/>
    <w:rsid w:val="00647148"/>
    <w:rsid w:val="00653BFD"/>
    <w:rsid w:val="006546F9"/>
    <w:rsid w:val="00656576"/>
    <w:rsid w:val="00656587"/>
    <w:rsid w:val="00656C84"/>
    <w:rsid w:val="00656F93"/>
    <w:rsid w:val="00660B1A"/>
    <w:rsid w:val="0066294F"/>
    <w:rsid w:val="00664918"/>
    <w:rsid w:val="00666B4E"/>
    <w:rsid w:val="006707F9"/>
    <w:rsid w:val="00673049"/>
    <w:rsid w:val="0067357A"/>
    <w:rsid w:val="00673866"/>
    <w:rsid w:val="00675CAE"/>
    <w:rsid w:val="00681969"/>
    <w:rsid w:val="006825F5"/>
    <w:rsid w:val="00683D55"/>
    <w:rsid w:val="0068409E"/>
    <w:rsid w:val="006845CC"/>
    <w:rsid w:val="00687891"/>
    <w:rsid w:val="00687CA4"/>
    <w:rsid w:val="00694774"/>
    <w:rsid w:val="00696128"/>
    <w:rsid w:val="00696682"/>
    <w:rsid w:val="006A1CE9"/>
    <w:rsid w:val="006B0030"/>
    <w:rsid w:val="006B36B0"/>
    <w:rsid w:val="006B6183"/>
    <w:rsid w:val="006C2D89"/>
    <w:rsid w:val="006C505B"/>
    <w:rsid w:val="006C5FAE"/>
    <w:rsid w:val="006C7C85"/>
    <w:rsid w:val="006D0532"/>
    <w:rsid w:val="006D1696"/>
    <w:rsid w:val="006D3F65"/>
    <w:rsid w:val="006D413F"/>
    <w:rsid w:val="006D44E2"/>
    <w:rsid w:val="006E0D46"/>
    <w:rsid w:val="006E1EF6"/>
    <w:rsid w:val="006E552A"/>
    <w:rsid w:val="006F0F3E"/>
    <w:rsid w:val="006F5464"/>
    <w:rsid w:val="006F6915"/>
    <w:rsid w:val="006F6FE8"/>
    <w:rsid w:val="006F70AA"/>
    <w:rsid w:val="00700A45"/>
    <w:rsid w:val="00701402"/>
    <w:rsid w:val="00703C2B"/>
    <w:rsid w:val="0070464B"/>
    <w:rsid w:val="00713359"/>
    <w:rsid w:val="00713363"/>
    <w:rsid w:val="00717E1B"/>
    <w:rsid w:val="00721176"/>
    <w:rsid w:val="00721291"/>
    <w:rsid w:val="00723A36"/>
    <w:rsid w:val="007250F8"/>
    <w:rsid w:val="007258B1"/>
    <w:rsid w:val="00725C8B"/>
    <w:rsid w:val="007264B0"/>
    <w:rsid w:val="00730576"/>
    <w:rsid w:val="00731CFC"/>
    <w:rsid w:val="0074189B"/>
    <w:rsid w:val="00741B19"/>
    <w:rsid w:val="00744337"/>
    <w:rsid w:val="0074596F"/>
    <w:rsid w:val="00746D07"/>
    <w:rsid w:val="00751967"/>
    <w:rsid w:val="00751B80"/>
    <w:rsid w:val="00754378"/>
    <w:rsid w:val="00754CA3"/>
    <w:rsid w:val="00754DC6"/>
    <w:rsid w:val="0075723D"/>
    <w:rsid w:val="00760C4A"/>
    <w:rsid w:val="0076549B"/>
    <w:rsid w:val="00766C86"/>
    <w:rsid w:val="007742A8"/>
    <w:rsid w:val="00774D10"/>
    <w:rsid w:val="0077578C"/>
    <w:rsid w:val="00780635"/>
    <w:rsid w:val="007865D5"/>
    <w:rsid w:val="00787B35"/>
    <w:rsid w:val="0079030C"/>
    <w:rsid w:val="0079169A"/>
    <w:rsid w:val="0079275F"/>
    <w:rsid w:val="00793E18"/>
    <w:rsid w:val="0079717E"/>
    <w:rsid w:val="00797BA0"/>
    <w:rsid w:val="00797DA8"/>
    <w:rsid w:val="007A0DBF"/>
    <w:rsid w:val="007A4141"/>
    <w:rsid w:val="007A44EF"/>
    <w:rsid w:val="007A4C1E"/>
    <w:rsid w:val="007A53EA"/>
    <w:rsid w:val="007B006C"/>
    <w:rsid w:val="007B333E"/>
    <w:rsid w:val="007B68B9"/>
    <w:rsid w:val="007C0010"/>
    <w:rsid w:val="007C0DF3"/>
    <w:rsid w:val="007C1E92"/>
    <w:rsid w:val="007C20C1"/>
    <w:rsid w:val="007C3EBF"/>
    <w:rsid w:val="007C48F3"/>
    <w:rsid w:val="007C52F2"/>
    <w:rsid w:val="007C637A"/>
    <w:rsid w:val="007C6D41"/>
    <w:rsid w:val="007C7590"/>
    <w:rsid w:val="007D13EE"/>
    <w:rsid w:val="007D2A87"/>
    <w:rsid w:val="007E5973"/>
    <w:rsid w:val="007E69AF"/>
    <w:rsid w:val="007E6AC6"/>
    <w:rsid w:val="007F055A"/>
    <w:rsid w:val="007F29A0"/>
    <w:rsid w:val="007F2EDE"/>
    <w:rsid w:val="007F388B"/>
    <w:rsid w:val="007F398F"/>
    <w:rsid w:val="00800B3E"/>
    <w:rsid w:val="00803077"/>
    <w:rsid w:val="0080517C"/>
    <w:rsid w:val="00806DBC"/>
    <w:rsid w:val="00810422"/>
    <w:rsid w:val="0081322D"/>
    <w:rsid w:val="00830D26"/>
    <w:rsid w:val="008315C7"/>
    <w:rsid w:val="00832638"/>
    <w:rsid w:val="00836978"/>
    <w:rsid w:val="00841982"/>
    <w:rsid w:val="00847D77"/>
    <w:rsid w:val="00850CB5"/>
    <w:rsid w:val="008526D4"/>
    <w:rsid w:val="00857ED4"/>
    <w:rsid w:val="00861048"/>
    <w:rsid w:val="00865130"/>
    <w:rsid w:val="00871324"/>
    <w:rsid w:val="008729D9"/>
    <w:rsid w:val="00873D20"/>
    <w:rsid w:val="0087542F"/>
    <w:rsid w:val="00877D62"/>
    <w:rsid w:val="00880211"/>
    <w:rsid w:val="00881D00"/>
    <w:rsid w:val="0088360E"/>
    <w:rsid w:val="00885489"/>
    <w:rsid w:val="0088681C"/>
    <w:rsid w:val="00887D7B"/>
    <w:rsid w:val="00890611"/>
    <w:rsid w:val="0089086F"/>
    <w:rsid w:val="00890E4B"/>
    <w:rsid w:val="00891679"/>
    <w:rsid w:val="00892004"/>
    <w:rsid w:val="00892F53"/>
    <w:rsid w:val="0089500A"/>
    <w:rsid w:val="00895341"/>
    <w:rsid w:val="0089593D"/>
    <w:rsid w:val="0089DE43"/>
    <w:rsid w:val="008A06E4"/>
    <w:rsid w:val="008A0DE0"/>
    <w:rsid w:val="008A4E2C"/>
    <w:rsid w:val="008A739E"/>
    <w:rsid w:val="008B3795"/>
    <w:rsid w:val="008C232A"/>
    <w:rsid w:val="008C79DE"/>
    <w:rsid w:val="008D08EF"/>
    <w:rsid w:val="008D5B79"/>
    <w:rsid w:val="008D6E30"/>
    <w:rsid w:val="008E086B"/>
    <w:rsid w:val="008E3B54"/>
    <w:rsid w:val="008E6C60"/>
    <w:rsid w:val="008E70C5"/>
    <w:rsid w:val="008E7305"/>
    <w:rsid w:val="008F0244"/>
    <w:rsid w:val="008F0E42"/>
    <w:rsid w:val="008F1712"/>
    <w:rsid w:val="008F19A9"/>
    <w:rsid w:val="008F382A"/>
    <w:rsid w:val="008F78A3"/>
    <w:rsid w:val="00902E92"/>
    <w:rsid w:val="009037EC"/>
    <w:rsid w:val="00905158"/>
    <w:rsid w:val="00905658"/>
    <w:rsid w:val="0090743D"/>
    <w:rsid w:val="00907B3C"/>
    <w:rsid w:val="00911F4A"/>
    <w:rsid w:val="00912659"/>
    <w:rsid w:val="009156F6"/>
    <w:rsid w:val="00916FC3"/>
    <w:rsid w:val="00921F50"/>
    <w:rsid w:val="009221D1"/>
    <w:rsid w:val="00923E50"/>
    <w:rsid w:val="00925BE3"/>
    <w:rsid w:val="00926BBF"/>
    <w:rsid w:val="009333CF"/>
    <w:rsid w:val="009342A1"/>
    <w:rsid w:val="00934C28"/>
    <w:rsid w:val="009350B3"/>
    <w:rsid w:val="00936BB3"/>
    <w:rsid w:val="009400C8"/>
    <w:rsid w:val="00941566"/>
    <w:rsid w:val="00942C52"/>
    <w:rsid w:val="00943779"/>
    <w:rsid w:val="00954389"/>
    <w:rsid w:val="009623E3"/>
    <w:rsid w:val="0096386B"/>
    <w:rsid w:val="00966FD9"/>
    <w:rsid w:val="00970743"/>
    <w:rsid w:val="00970DB0"/>
    <w:rsid w:val="00974B8D"/>
    <w:rsid w:val="00974CD6"/>
    <w:rsid w:val="009758AD"/>
    <w:rsid w:val="00975C11"/>
    <w:rsid w:val="009812A5"/>
    <w:rsid w:val="00981B48"/>
    <w:rsid w:val="009821D4"/>
    <w:rsid w:val="0098359E"/>
    <w:rsid w:val="009844EA"/>
    <w:rsid w:val="0098478E"/>
    <w:rsid w:val="00985FB7"/>
    <w:rsid w:val="0098621B"/>
    <w:rsid w:val="009915EB"/>
    <w:rsid w:val="00992283"/>
    <w:rsid w:val="00994488"/>
    <w:rsid w:val="00994B90"/>
    <w:rsid w:val="0099607D"/>
    <w:rsid w:val="009970CC"/>
    <w:rsid w:val="009A1ABB"/>
    <w:rsid w:val="009A2F2C"/>
    <w:rsid w:val="009A33BE"/>
    <w:rsid w:val="009B0046"/>
    <w:rsid w:val="009B34BA"/>
    <w:rsid w:val="009B4136"/>
    <w:rsid w:val="009B4FEA"/>
    <w:rsid w:val="009B64F3"/>
    <w:rsid w:val="009B69C7"/>
    <w:rsid w:val="009B7038"/>
    <w:rsid w:val="009B782F"/>
    <w:rsid w:val="009C206F"/>
    <w:rsid w:val="009C37F9"/>
    <w:rsid w:val="009C3FA3"/>
    <w:rsid w:val="009C5CE4"/>
    <w:rsid w:val="009C6B17"/>
    <w:rsid w:val="009C7552"/>
    <w:rsid w:val="009D15AF"/>
    <w:rsid w:val="009D3DB4"/>
    <w:rsid w:val="009D56BE"/>
    <w:rsid w:val="009D7044"/>
    <w:rsid w:val="009D795E"/>
    <w:rsid w:val="009E0E69"/>
    <w:rsid w:val="009E11DB"/>
    <w:rsid w:val="009E22F1"/>
    <w:rsid w:val="009F0D67"/>
    <w:rsid w:val="009F2C9E"/>
    <w:rsid w:val="009F6122"/>
    <w:rsid w:val="009F6885"/>
    <w:rsid w:val="009F6CD9"/>
    <w:rsid w:val="009F77B2"/>
    <w:rsid w:val="00A022A9"/>
    <w:rsid w:val="00A029FC"/>
    <w:rsid w:val="00A03279"/>
    <w:rsid w:val="00A04AFD"/>
    <w:rsid w:val="00A063D3"/>
    <w:rsid w:val="00A1093C"/>
    <w:rsid w:val="00A130F7"/>
    <w:rsid w:val="00A14F64"/>
    <w:rsid w:val="00A1508C"/>
    <w:rsid w:val="00A170D1"/>
    <w:rsid w:val="00A20EFE"/>
    <w:rsid w:val="00A21E11"/>
    <w:rsid w:val="00A237A4"/>
    <w:rsid w:val="00A24265"/>
    <w:rsid w:val="00A30FB5"/>
    <w:rsid w:val="00A31230"/>
    <w:rsid w:val="00A3211E"/>
    <w:rsid w:val="00A32860"/>
    <w:rsid w:val="00A33B4B"/>
    <w:rsid w:val="00A36591"/>
    <w:rsid w:val="00A403B1"/>
    <w:rsid w:val="00A40648"/>
    <w:rsid w:val="00A40FD1"/>
    <w:rsid w:val="00A41762"/>
    <w:rsid w:val="00A4180A"/>
    <w:rsid w:val="00A42A00"/>
    <w:rsid w:val="00A43079"/>
    <w:rsid w:val="00A43A18"/>
    <w:rsid w:val="00A442D3"/>
    <w:rsid w:val="00A5042A"/>
    <w:rsid w:val="00A50541"/>
    <w:rsid w:val="00A544EF"/>
    <w:rsid w:val="00A54649"/>
    <w:rsid w:val="00A57284"/>
    <w:rsid w:val="00A625E0"/>
    <w:rsid w:val="00A62F99"/>
    <w:rsid w:val="00A63ACF"/>
    <w:rsid w:val="00A652DC"/>
    <w:rsid w:val="00A65D84"/>
    <w:rsid w:val="00A71C96"/>
    <w:rsid w:val="00A729F7"/>
    <w:rsid w:val="00A73312"/>
    <w:rsid w:val="00A74BA5"/>
    <w:rsid w:val="00A757F1"/>
    <w:rsid w:val="00A76DA5"/>
    <w:rsid w:val="00A77E8E"/>
    <w:rsid w:val="00A8157A"/>
    <w:rsid w:val="00A81710"/>
    <w:rsid w:val="00A8437C"/>
    <w:rsid w:val="00A949EE"/>
    <w:rsid w:val="00A94FB3"/>
    <w:rsid w:val="00A97585"/>
    <w:rsid w:val="00AA009B"/>
    <w:rsid w:val="00AA03AC"/>
    <w:rsid w:val="00AA1BEE"/>
    <w:rsid w:val="00AA1D89"/>
    <w:rsid w:val="00AA4B9E"/>
    <w:rsid w:val="00AA4F83"/>
    <w:rsid w:val="00AC0A1B"/>
    <w:rsid w:val="00AC145F"/>
    <w:rsid w:val="00AC3503"/>
    <w:rsid w:val="00AC47A3"/>
    <w:rsid w:val="00AC6427"/>
    <w:rsid w:val="00AC678E"/>
    <w:rsid w:val="00AD1CA7"/>
    <w:rsid w:val="00AD2516"/>
    <w:rsid w:val="00AD3277"/>
    <w:rsid w:val="00AD4991"/>
    <w:rsid w:val="00AE0125"/>
    <w:rsid w:val="00AE1E6E"/>
    <w:rsid w:val="00AE2ACB"/>
    <w:rsid w:val="00AE4587"/>
    <w:rsid w:val="00AE4763"/>
    <w:rsid w:val="00AE5368"/>
    <w:rsid w:val="00AE5BAB"/>
    <w:rsid w:val="00AE61EF"/>
    <w:rsid w:val="00AE6702"/>
    <w:rsid w:val="00AE7310"/>
    <w:rsid w:val="00AF05EB"/>
    <w:rsid w:val="00AF21C7"/>
    <w:rsid w:val="00AF3A8D"/>
    <w:rsid w:val="00AF3AE4"/>
    <w:rsid w:val="00AF4297"/>
    <w:rsid w:val="00AF5BD7"/>
    <w:rsid w:val="00B004E1"/>
    <w:rsid w:val="00B0121B"/>
    <w:rsid w:val="00B0455B"/>
    <w:rsid w:val="00B119D3"/>
    <w:rsid w:val="00B11E02"/>
    <w:rsid w:val="00B2178D"/>
    <w:rsid w:val="00B22981"/>
    <w:rsid w:val="00B2506E"/>
    <w:rsid w:val="00B25595"/>
    <w:rsid w:val="00B32DF6"/>
    <w:rsid w:val="00B3476F"/>
    <w:rsid w:val="00B35DB8"/>
    <w:rsid w:val="00B365FF"/>
    <w:rsid w:val="00B43568"/>
    <w:rsid w:val="00B4638E"/>
    <w:rsid w:val="00B46F37"/>
    <w:rsid w:val="00B4704A"/>
    <w:rsid w:val="00B50587"/>
    <w:rsid w:val="00B52C82"/>
    <w:rsid w:val="00B56517"/>
    <w:rsid w:val="00B57998"/>
    <w:rsid w:val="00B64AF1"/>
    <w:rsid w:val="00B67435"/>
    <w:rsid w:val="00B7320B"/>
    <w:rsid w:val="00B74807"/>
    <w:rsid w:val="00B76B68"/>
    <w:rsid w:val="00B772C0"/>
    <w:rsid w:val="00B80673"/>
    <w:rsid w:val="00B82095"/>
    <w:rsid w:val="00B82222"/>
    <w:rsid w:val="00B83143"/>
    <w:rsid w:val="00B84CF3"/>
    <w:rsid w:val="00B9005F"/>
    <w:rsid w:val="00B90975"/>
    <w:rsid w:val="00B90A66"/>
    <w:rsid w:val="00B90C93"/>
    <w:rsid w:val="00B93390"/>
    <w:rsid w:val="00B93571"/>
    <w:rsid w:val="00B94CBD"/>
    <w:rsid w:val="00B962F0"/>
    <w:rsid w:val="00BA23D0"/>
    <w:rsid w:val="00BA2806"/>
    <w:rsid w:val="00BA51EE"/>
    <w:rsid w:val="00BA523C"/>
    <w:rsid w:val="00BA5598"/>
    <w:rsid w:val="00BA5B2A"/>
    <w:rsid w:val="00BA6228"/>
    <w:rsid w:val="00BA774E"/>
    <w:rsid w:val="00BB2A96"/>
    <w:rsid w:val="00BB31F1"/>
    <w:rsid w:val="00BB3C45"/>
    <w:rsid w:val="00BB3F66"/>
    <w:rsid w:val="00BB6108"/>
    <w:rsid w:val="00BB7AAE"/>
    <w:rsid w:val="00BC233B"/>
    <w:rsid w:val="00BC26E7"/>
    <w:rsid w:val="00BC321A"/>
    <w:rsid w:val="00BC7C3C"/>
    <w:rsid w:val="00BD0ADD"/>
    <w:rsid w:val="00BD1AC9"/>
    <w:rsid w:val="00BD41AC"/>
    <w:rsid w:val="00BD4F8E"/>
    <w:rsid w:val="00BD67EC"/>
    <w:rsid w:val="00BE1075"/>
    <w:rsid w:val="00BE345B"/>
    <w:rsid w:val="00BE5350"/>
    <w:rsid w:val="00BF1A2A"/>
    <w:rsid w:val="00BF460A"/>
    <w:rsid w:val="00BF69D4"/>
    <w:rsid w:val="00BF73C7"/>
    <w:rsid w:val="00C03B5D"/>
    <w:rsid w:val="00C0409F"/>
    <w:rsid w:val="00C11916"/>
    <w:rsid w:val="00C20284"/>
    <w:rsid w:val="00C22792"/>
    <w:rsid w:val="00C2333E"/>
    <w:rsid w:val="00C24598"/>
    <w:rsid w:val="00C26DB9"/>
    <w:rsid w:val="00C33518"/>
    <w:rsid w:val="00C34408"/>
    <w:rsid w:val="00C4044C"/>
    <w:rsid w:val="00C404B9"/>
    <w:rsid w:val="00C42A61"/>
    <w:rsid w:val="00C44919"/>
    <w:rsid w:val="00C44A23"/>
    <w:rsid w:val="00C47354"/>
    <w:rsid w:val="00C516E6"/>
    <w:rsid w:val="00C522B8"/>
    <w:rsid w:val="00C526C4"/>
    <w:rsid w:val="00C539D3"/>
    <w:rsid w:val="00C6128D"/>
    <w:rsid w:val="00C62203"/>
    <w:rsid w:val="00C62D67"/>
    <w:rsid w:val="00C62EA4"/>
    <w:rsid w:val="00C709E7"/>
    <w:rsid w:val="00C720BE"/>
    <w:rsid w:val="00C73278"/>
    <w:rsid w:val="00C734E6"/>
    <w:rsid w:val="00C73DDC"/>
    <w:rsid w:val="00C765C8"/>
    <w:rsid w:val="00C82029"/>
    <w:rsid w:val="00C82090"/>
    <w:rsid w:val="00C86AC2"/>
    <w:rsid w:val="00C9229B"/>
    <w:rsid w:val="00C9283A"/>
    <w:rsid w:val="00C9363B"/>
    <w:rsid w:val="00C93952"/>
    <w:rsid w:val="00C9465B"/>
    <w:rsid w:val="00C94D79"/>
    <w:rsid w:val="00C95039"/>
    <w:rsid w:val="00C956B1"/>
    <w:rsid w:val="00C95912"/>
    <w:rsid w:val="00C96A95"/>
    <w:rsid w:val="00CA03F8"/>
    <w:rsid w:val="00CA1A3A"/>
    <w:rsid w:val="00CA4615"/>
    <w:rsid w:val="00CA7AE3"/>
    <w:rsid w:val="00CA7C6F"/>
    <w:rsid w:val="00CB16FB"/>
    <w:rsid w:val="00CB3235"/>
    <w:rsid w:val="00CB34EB"/>
    <w:rsid w:val="00CB3D65"/>
    <w:rsid w:val="00CB4942"/>
    <w:rsid w:val="00CB495A"/>
    <w:rsid w:val="00CB49B3"/>
    <w:rsid w:val="00CB4C83"/>
    <w:rsid w:val="00CB658A"/>
    <w:rsid w:val="00CB6A83"/>
    <w:rsid w:val="00CC09FD"/>
    <w:rsid w:val="00CC1105"/>
    <w:rsid w:val="00CD2F0F"/>
    <w:rsid w:val="00CD3A6F"/>
    <w:rsid w:val="00CD6085"/>
    <w:rsid w:val="00CD6263"/>
    <w:rsid w:val="00CE01DE"/>
    <w:rsid w:val="00CE0C2C"/>
    <w:rsid w:val="00CE7F36"/>
    <w:rsid w:val="00CF149F"/>
    <w:rsid w:val="00CF2A7A"/>
    <w:rsid w:val="00CF3713"/>
    <w:rsid w:val="00CF7749"/>
    <w:rsid w:val="00CF7D08"/>
    <w:rsid w:val="00D016B4"/>
    <w:rsid w:val="00D04A3C"/>
    <w:rsid w:val="00D058A0"/>
    <w:rsid w:val="00D06403"/>
    <w:rsid w:val="00D11917"/>
    <w:rsid w:val="00D11E64"/>
    <w:rsid w:val="00D165D6"/>
    <w:rsid w:val="00D177EE"/>
    <w:rsid w:val="00D20094"/>
    <w:rsid w:val="00D21CB5"/>
    <w:rsid w:val="00D22097"/>
    <w:rsid w:val="00D22A86"/>
    <w:rsid w:val="00D2379A"/>
    <w:rsid w:val="00D25469"/>
    <w:rsid w:val="00D313B4"/>
    <w:rsid w:val="00D33DC9"/>
    <w:rsid w:val="00D33E44"/>
    <w:rsid w:val="00D368BE"/>
    <w:rsid w:val="00D36C41"/>
    <w:rsid w:val="00D4039B"/>
    <w:rsid w:val="00D40CB0"/>
    <w:rsid w:val="00D4757C"/>
    <w:rsid w:val="00D47A51"/>
    <w:rsid w:val="00D47D00"/>
    <w:rsid w:val="00D5230A"/>
    <w:rsid w:val="00D535A2"/>
    <w:rsid w:val="00D53D35"/>
    <w:rsid w:val="00D55A85"/>
    <w:rsid w:val="00D572EF"/>
    <w:rsid w:val="00D57630"/>
    <w:rsid w:val="00D60054"/>
    <w:rsid w:val="00D62D67"/>
    <w:rsid w:val="00D71B87"/>
    <w:rsid w:val="00D72793"/>
    <w:rsid w:val="00D73193"/>
    <w:rsid w:val="00D73E63"/>
    <w:rsid w:val="00D750D0"/>
    <w:rsid w:val="00D75A7B"/>
    <w:rsid w:val="00D816B2"/>
    <w:rsid w:val="00D83046"/>
    <w:rsid w:val="00D83541"/>
    <w:rsid w:val="00D84296"/>
    <w:rsid w:val="00D8651F"/>
    <w:rsid w:val="00D87480"/>
    <w:rsid w:val="00D90F84"/>
    <w:rsid w:val="00D92233"/>
    <w:rsid w:val="00D9608F"/>
    <w:rsid w:val="00D9636C"/>
    <w:rsid w:val="00D970CA"/>
    <w:rsid w:val="00DA19F2"/>
    <w:rsid w:val="00DA1E5D"/>
    <w:rsid w:val="00DA1EA4"/>
    <w:rsid w:val="00DA3F4E"/>
    <w:rsid w:val="00DA4D59"/>
    <w:rsid w:val="00DA4FD5"/>
    <w:rsid w:val="00DA74F8"/>
    <w:rsid w:val="00DB3813"/>
    <w:rsid w:val="00DB560E"/>
    <w:rsid w:val="00DB71FD"/>
    <w:rsid w:val="00DC11F5"/>
    <w:rsid w:val="00DC453F"/>
    <w:rsid w:val="00DC49E2"/>
    <w:rsid w:val="00DC57F0"/>
    <w:rsid w:val="00DD150D"/>
    <w:rsid w:val="00DD6B54"/>
    <w:rsid w:val="00DD7283"/>
    <w:rsid w:val="00DE024A"/>
    <w:rsid w:val="00DE1A29"/>
    <w:rsid w:val="00DE28C8"/>
    <w:rsid w:val="00DE3692"/>
    <w:rsid w:val="00DE3C38"/>
    <w:rsid w:val="00DE546F"/>
    <w:rsid w:val="00DE56B5"/>
    <w:rsid w:val="00DF241E"/>
    <w:rsid w:val="00DF33EA"/>
    <w:rsid w:val="00DF6779"/>
    <w:rsid w:val="00DF7646"/>
    <w:rsid w:val="00DF7B14"/>
    <w:rsid w:val="00E0395A"/>
    <w:rsid w:val="00E04997"/>
    <w:rsid w:val="00E051AB"/>
    <w:rsid w:val="00E0533B"/>
    <w:rsid w:val="00E05382"/>
    <w:rsid w:val="00E05AD4"/>
    <w:rsid w:val="00E11B4B"/>
    <w:rsid w:val="00E11D7E"/>
    <w:rsid w:val="00E23D8E"/>
    <w:rsid w:val="00E24B4B"/>
    <w:rsid w:val="00E25A07"/>
    <w:rsid w:val="00E316B7"/>
    <w:rsid w:val="00E333DF"/>
    <w:rsid w:val="00E34CB1"/>
    <w:rsid w:val="00E40549"/>
    <w:rsid w:val="00E442FD"/>
    <w:rsid w:val="00E44E91"/>
    <w:rsid w:val="00E46B95"/>
    <w:rsid w:val="00E50806"/>
    <w:rsid w:val="00E50C24"/>
    <w:rsid w:val="00E52798"/>
    <w:rsid w:val="00E603B2"/>
    <w:rsid w:val="00E62407"/>
    <w:rsid w:val="00E628D9"/>
    <w:rsid w:val="00E64BA4"/>
    <w:rsid w:val="00E65841"/>
    <w:rsid w:val="00E66CC2"/>
    <w:rsid w:val="00E71B85"/>
    <w:rsid w:val="00E73001"/>
    <w:rsid w:val="00E73FB3"/>
    <w:rsid w:val="00E760CD"/>
    <w:rsid w:val="00E81FAE"/>
    <w:rsid w:val="00E82646"/>
    <w:rsid w:val="00E8269E"/>
    <w:rsid w:val="00E8398E"/>
    <w:rsid w:val="00E83AE9"/>
    <w:rsid w:val="00E83C41"/>
    <w:rsid w:val="00E862F4"/>
    <w:rsid w:val="00E86967"/>
    <w:rsid w:val="00E86D91"/>
    <w:rsid w:val="00E87726"/>
    <w:rsid w:val="00E913A9"/>
    <w:rsid w:val="00E93DFB"/>
    <w:rsid w:val="00E94D8E"/>
    <w:rsid w:val="00E94F2C"/>
    <w:rsid w:val="00E95121"/>
    <w:rsid w:val="00E95C65"/>
    <w:rsid w:val="00E9781D"/>
    <w:rsid w:val="00EA1F20"/>
    <w:rsid w:val="00EA4A07"/>
    <w:rsid w:val="00EA5D76"/>
    <w:rsid w:val="00EB2436"/>
    <w:rsid w:val="00EB33FB"/>
    <w:rsid w:val="00EB530D"/>
    <w:rsid w:val="00EB7ABD"/>
    <w:rsid w:val="00EB7FB7"/>
    <w:rsid w:val="00EC0D42"/>
    <w:rsid w:val="00EC1DB1"/>
    <w:rsid w:val="00EC2925"/>
    <w:rsid w:val="00EC4447"/>
    <w:rsid w:val="00EC460F"/>
    <w:rsid w:val="00EC5579"/>
    <w:rsid w:val="00EC5C40"/>
    <w:rsid w:val="00EC74FE"/>
    <w:rsid w:val="00ED0BE9"/>
    <w:rsid w:val="00ED2BA6"/>
    <w:rsid w:val="00ED3305"/>
    <w:rsid w:val="00ED668B"/>
    <w:rsid w:val="00ED6F66"/>
    <w:rsid w:val="00ED774B"/>
    <w:rsid w:val="00EE0118"/>
    <w:rsid w:val="00EE2DD3"/>
    <w:rsid w:val="00EE49CE"/>
    <w:rsid w:val="00EE7534"/>
    <w:rsid w:val="00EE7C8D"/>
    <w:rsid w:val="00EF0CA1"/>
    <w:rsid w:val="00EF24B1"/>
    <w:rsid w:val="00EF28ED"/>
    <w:rsid w:val="00EF3119"/>
    <w:rsid w:val="00EF3918"/>
    <w:rsid w:val="00EF4933"/>
    <w:rsid w:val="00EF5064"/>
    <w:rsid w:val="00EF7DA4"/>
    <w:rsid w:val="00F00F62"/>
    <w:rsid w:val="00F01CB1"/>
    <w:rsid w:val="00F02217"/>
    <w:rsid w:val="00F02C3C"/>
    <w:rsid w:val="00F046DE"/>
    <w:rsid w:val="00F048A5"/>
    <w:rsid w:val="00F06DD4"/>
    <w:rsid w:val="00F0719F"/>
    <w:rsid w:val="00F07634"/>
    <w:rsid w:val="00F10E1E"/>
    <w:rsid w:val="00F12F39"/>
    <w:rsid w:val="00F16496"/>
    <w:rsid w:val="00F21AF4"/>
    <w:rsid w:val="00F224AB"/>
    <w:rsid w:val="00F2363E"/>
    <w:rsid w:val="00F25175"/>
    <w:rsid w:val="00F2770C"/>
    <w:rsid w:val="00F330C3"/>
    <w:rsid w:val="00F333D0"/>
    <w:rsid w:val="00F40745"/>
    <w:rsid w:val="00F4140C"/>
    <w:rsid w:val="00F4493F"/>
    <w:rsid w:val="00F458FF"/>
    <w:rsid w:val="00F50362"/>
    <w:rsid w:val="00F50922"/>
    <w:rsid w:val="00F5276C"/>
    <w:rsid w:val="00F55A4E"/>
    <w:rsid w:val="00F60D42"/>
    <w:rsid w:val="00F62553"/>
    <w:rsid w:val="00F716EB"/>
    <w:rsid w:val="00F724E5"/>
    <w:rsid w:val="00F75589"/>
    <w:rsid w:val="00F75F33"/>
    <w:rsid w:val="00F80BEE"/>
    <w:rsid w:val="00F81358"/>
    <w:rsid w:val="00F84236"/>
    <w:rsid w:val="00F86F06"/>
    <w:rsid w:val="00F91D1C"/>
    <w:rsid w:val="00F93115"/>
    <w:rsid w:val="00F946C2"/>
    <w:rsid w:val="00F9536E"/>
    <w:rsid w:val="00FA0094"/>
    <w:rsid w:val="00FA0A19"/>
    <w:rsid w:val="00FA23D7"/>
    <w:rsid w:val="00FA5988"/>
    <w:rsid w:val="00FB2957"/>
    <w:rsid w:val="00FB3F9F"/>
    <w:rsid w:val="00FB7341"/>
    <w:rsid w:val="00FC1D8B"/>
    <w:rsid w:val="00FC2241"/>
    <w:rsid w:val="00FC2CE4"/>
    <w:rsid w:val="00FC379E"/>
    <w:rsid w:val="00FC3D2B"/>
    <w:rsid w:val="00FD337C"/>
    <w:rsid w:val="00FD3BAE"/>
    <w:rsid w:val="00FD5236"/>
    <w:rsid w:val="00FD7D5B"/>
    <w:rsid w:val="00FE0F23"/>
    <w:rsid w:val="00FE19F8"/>
    <w:rsid w:val="00FE42E6"/>
    <w:rsid w:val="00FF25E8"/>
    <w:rsid w:val="00FF2BAC"/>
    <w:rsid w:val="00FF7A0F"/>
    <w:rsid w:val="00FF7F0A"/>
    <w:rsid w:val="0162813A"/>
    <w:rsid w:val="017AD5F7"/>
    <w:rsid w:val="022E2D5E"/>
    <w:rsid w:val="027512C4"/>
    <w:rsid w:val="02C7D421"/>
    <w:rsid w:val="02D8C77B"/>
    <w:rsid w:val="034BDB9E"/>
    <w:rsid w:val="03FE9DBE"/>
    <w:rsid w:val="043E04A5"/>
    <w:rsid w:val="0446E9CF"/>
    <w:rsid w:val="04AFE3FE"/>
    <w:rsid w:val="04ECD66D"/>
    <w:rsid w:val="052A3C9B"/>
    <w:rsid w:val="06659EB7"/>
    <w:rsid w:val="066CD371"/>
    <w:rsid w:val="06946D80"/>
    <w:rsid w:val="06EEFE1F"/>
    <w:rsid w:val="06F235F5"/>
    <w:rsid w:val="071DCC65"/>
    <w:rsid w:val="07AEF855"/>
    <w:rsid w:val="07BE4741"/>
    <w:rsid w:val="07CEA934"/>
    <w:rsid w:val="07DE5223"/>
    <w:rsid w:val="08AFBD18"/>
    <w:rsid w:val="08B9BAC2"/>
    <w:rsid w:val="09163438"/>
    <w:rsid w:val="0A6B2BC1"/>
    <w:rsid w:val="0AA1E346"/>
    <w:rsid w:val="0ADE51C6"/>
    <w:rsid w:val="0B82F002"/>
    <w:rsid w:val="0C66B9EB"/>
    <w:rsid w:val="0CDAFA27"/>
    <w:rsid w:val="0D0EC0A1"/>
    <w:rsid w:val="0E4B265C"/>
    <w:rsid w:val="0E586599"/>
    <w:rsid w:val="0F6AE4C3"/>
    <w:rsid w:val="0F849930"/>
    <w:rsid w:val="11722F7F"/>
    <w:rsid w:val="11BB86FA"/>
    <w:rsid w:val="123B8C92"/>
    <w:rsid w:val="12BA26DE"/>
    <w:rsid w:val="1331C2B5"/>
    <w:rsid w:val="13F95ED5"/>
    <w:rsid w:val="14C4C1AE"/>
    <w:rsid w:val="14DE8D2C"/>
    <w:rsid w:val="15AFE02C"/>
    <w:rsid w:val="162408C9"/>
    <w:rsid w:val="16622E6F"/>
    <w:rsid w:val="17141FC1"/>
    <w:rsid w:val="171D803B"/>
    <w:rsid w:val="1771D387"/>
    <w:rsid w:val="17AD60CA"/>
    <w:rsid w:val="17D3BDAA"/>
    <w:rsid w:val="17EB97CE"/>
    <w:rsid w:val="186D0F18"/>
    <w:rsid w:val="18CF0D9E"/>
    <w:rsid w:val="1A5873D3"/>
    <w:rsid w:val="1AE69B67"/>
    <w:rsid w:val="1B3ADB49"/>
    <w:rsid w:val="1B698B3F"/>
    <w:rsid w:val="1C7384DC"/>
    <w:rsid w:val="1CF1742B"/>
    <w:rsid w:val="1D63F6FD"/>
    <w:rsid w:val="1D6F9395"/>
    <w:rsid w:val="1F453653"/>
    <w:rsid w:val="1F7A4AA9"/>
    <w:rsid w:val="1FA2406A"/>
    <w:rsid w:val="20711931"/>
    <w:rsid w:val="2117468E"/>
    <w:rsid w:val="2125963F"/>
    <w:rsid w:val="21675FD9"/>
    <w:rsid w:val="224F532C"/>
    <w:rsid w:val="227A81EB"/>
    <w:rsid w:val="23E603CE"/>
    <w:rsid w:val="23F61A80"/>
    <w:rsid w:val="23FC1261"/>
    <w:rsid w:val="2425F592"/>
    <w:rsid w:val="2501EF43"/>
    <w:rsid w:val="25B2EF43"/>
    <w:rsid w:val="269F1B45"/>
    <w:rsid w:val="26EBAD7A"/>
    <w:rsid w:val="270A9B69"/>
    <w:rsid w:val="27AE8B8C"/>
    <w:rsid w:val="28FA7DC1"/>
    <w:rsid w:val="29685678"/>
    <w:rsid w:val="2A4516D8"/>
    <w:rsid w:val="2AA6D584"/>
    <w:rsid w:val="2ABB18CF"/>
    <w:rsid w:val="2ADDE3E2"/>
    <w:rsid w:val="2B1DB2D6"/>
    <w:rsid w:val="2B5FA391"/>
    <w:rsid w:val="2B780DED"/>
    <w:rsid w:val="2B7A0B36"/>
    <w:rsid w:val="2BD5E994"/>
    <w:rsid w:val="2C607E35"/>
    <w:rsid w:val="2CB6D0BE"/>
    <w:rsid w:val="2D0C5706"/>
    <w:rsid w:val="2D2CFD54"/>
    <w:rsid w:val="2D98088D"/>
    <w:rsid w:val="2E27058D"/>
    <w:rsid w:val="2E2F9835"/>
    <w:rsid w:val="2E312804"/>
    <w:rsid w:val="2E4CFC30"/>
    <w:rsid w:val="2EC0927F"/>
    <w:rsid w:val="2EEB15D0"/>
    <w:rsid w:val="2EEE78DB"/>
    <w:rsid w:val="2FA82B2D"/>
    <w:rsid w:val="302EE632"/>
    <w:rsid w:val="310E30E1"/>
    <w:rsid w:val="3115C5F3"/>
    <w:rsid w:val="321E553A"/>
    <w:rsid w:val="321EA0DF"/>
    <w:rsid w:val="322A2A89"/>
    <w:rsid w:val="326CB04C"/>
    <w:rsid w:val="327902B5"/>
    <w:rsid w:val="3299D552"/>
    <w:rsid w:val="3427F7FD"/>
    <w:rsid w:val="3469391A"/>
    <w:rsid w:val="34AAA4E1"/>
    <w:rsid w:val="34AF9791"/>
    <w:rsid w:val="34FB3F65"/>
    <w:rsid w:val="3547EB13"/>
    <w:rsid w:val="360E84B4"/>
    <w:rsid w:val="36255C91"/>
    <w:rsid w:val="36EDFD6A"/>
    <w:rsid w:val="372032DF"/>
    <w:rsid w:val="37C651E6"/>
    <w:rsid w:val="37F3BC82"/>
    <w:rsid w:val="384E443A"/>
    <w:rsid w:val="385F126E"/>
    <w:rsid w:val="386B6BA2"/>
    <w:rsid w:val="386C711D"/>
    <w:rsid w:val="38E17892"/>
    <w:rsid w:val="39B1644E"/>
    <w:rsid w:val="39CCF9BC"/>
    <w:rsid w:val="39E0014D"/>
    <w:rsid w:val="3A572EAC"/>
    <w:rsid w:val="3A865A12"/>
    <w:rsid w:val="3B2F2B89"/>
    <w:rsid w:val="3B4DCF29"/>
    <w:rsid w:val="3C74C0D9"/>
    <w:rsid w:val="3CC7CB4D"/>
    <w:rsid w:val="3CF40C75"/>
    <w:rsid w:val="3D766872"/>
    <w:rsid w:val="3DEE8A81"/>
    <w:rsid w:val="3E9D2A11"/>
    <w:rsid w:val="3F966934"/>
    <w:rsid w:val="403336D4"/>
    <w:rsid w:val="4038EDBA"/>
    <w:rsid w:val="40B7B91E"/>
    <w:rsid w:val="41363A29"/>
    <w:rsid w:val="4159F3BA"/>
    <w:rsid w:val="4180E7CC"/>
    <w:rsid w:val="41D32EC7"/>
    <w:rsid w:val="41E2D8C4"/>
    <w:rsid w:val="42D130C0"/>
    <w:rsid w:val="43276F60"/>
    <w:rsid w:val="43BD0C00"/>
    <w:rsid w:val="440D95F0"/>
    <w:rsid w:val="445F7EAE"/>
    <w:rsid w:val="44C63591"/>
    <w:rsid w:val="4570CED7"/>
    <w:rsid w:val="4609274A"/>
    <w:rsid w:val="4622DE58"/>
    <w:rsid w:val="4652FF6A"/>
    <w:rsid w:val="46D726B2"/>
    <w:rsid w:val="47196A92"/>
    <w:rsid w:val="47689F8B"/>
    <w:rsid w:val="47BEB565"/>
    <w:rsid w:val="4881A061"/>
    <w:rsid w:val="48987F32"/>
    <w:rsid w:val="4A51139A"/>
    <w:rsid w:val="4AB0C577"/>
    <w:rsid w:val="4C3DC79F"/>
    <w:rsid w:val="4C82A3C0"/>
    <w:rsid w:val="4EE59F06"/>
    <w:rsid w:val="4F2FC971"/>
    <w:rsid w:val="4F6EE3B1"/>
    <w:rsid w:val="4F8D06CF"/>
    <w:rsid w:val="4FA28B6A"/>
    <w:rsid w:val="4FCD2186"/>
    <w:rsid w:val="50A84C7A"/>
    <w:rsid w:val="50DCAF12"/>
    <w:rsid w:val="513DA93E"/>
    <w:rsid w:val="5193C315"/>
    <w:rsid w:val="51CBE7FF"/>
    <w:rsid w:val="520E8AAB"/>
    <w:rsid w:val="52557B34"/>
    <w:rsid w:val="5259AC3E"/>
    <w:rsid w:val="52E43F80"/>
    <w:rsid w:val="52E62A62"/>
    <w:rsid w:val="53F9F916"/>
    <w:rsid w:val="5424B4B8"/>
    <w:rsid w:val="553395E3"/>
    <w:rsid w:val="55C0A003"/>
    <w:rsid w:val="55D6F661"/>
    <w:rsid w:val="55E09814"/>
    <w:rsid w:val="5632793C"/>
    <w:rsid w:val="5635E37F"/>
    <w:rsid w:val="569F0926"/>
    <w:rsid w:val="56EEBC68"/>
    <w:rsid w:val="57A2ABE2"/>
    <w:rsid w:val="57EF44C7"/>
    <w:rsid w:val="5852371F"/>
    <w:rsid w:val="585C0CA6"/>
    <w:rsid w:val="58812DAC"/>
    <w:rsid w:val="5885C1A8"/>
    <w:rsid w:val="58D8A278"/>
    <w:rsid w:val="591ABEDF"/>
    <w:rsid w:val="59801163"/>
    <w:rsid w:val="59C419EB"/>
    <w:rsid w:val="5A487C22"/>
    <w:rsid w:val="5A92BD67"/>
    <w:rsid w:val="5B2E0D69"/>
    <w:rsid w:val="5BBFAEC8"/>
    <w:rsid w:val="5C52F6A5"/>
    <w:rsid w:val="5C8B35BA"/>
    <w:rsid w:val="5D0C6047"/>
    <w:rsid w:val="5DAB2F04"/>
    <w:rsid w:val="5E7637D8"/>
    <w:rsid w:val="5EE1E57F"/>
    <w:rsid w:val="5FA13F2F"/>
    <w:rsid w:val="60CD6DFC"/>
    <w:rsid w:val="60CD783F"/>
    <w:rsid w:val="6177A4E4"/>
    <w:rsid w:val="61B1D6A1"/>
    <w:rsid w:val="6212ED23"/>
    <w:rsid w:val="623CE87F"/>
    <w:rsid w:val="626509B9"/>
    <w:rsid w:val="63136F4D"/>
    <w:rsid w:val="6435C9E2"/>
    <w:rsid w:val="648E3E1A"/>
    <w:rsid w:val="6549D38C"/>
    <w:rsid w:val="6582BC56"/>
    <w:rsid w:val="65B953F5"/>
    <w:rsid w:val="65F05473"/>
    <w:rsid w:val="65F5A863"/>
    <w:rsid w:val="65F76695"/>
    <w:rsid w:val="6601DD8A"/>
    <w:rsid w:val="664F94A1"/>
    <w:rsid w:val="66721535"/>
    <w:rsid w:val="66CD7EBD"/>
    <w:rsid w:val="67869260"/>
    <w:rsid w:val="67A6D1A3"/>
    <w:rsid w:val="67F2A44F"/>
    <w:rsid w:val="68F43641"/>
    <w:rsid w:val="691B1008"/>
    <w:rsid w:val="69CBDA9E"/>
    <w:rsid w:val="6A02A704"/>
    <w:rsid w:val="6A394317"/>
    <w:rsid w:val="6A62E9AD"/>
    <w:rsid w:val="6B6DAA76"/>
    <w:rsid w:val="6BA533F4"/>
    <w:rsid w:val="6BBD1E1B"/>
    <w:rsid w:val="6C4594CD"/>
    <w:rsid w:val="6C564831"/>
    <w:rsid w:val="6CBF24B1"/>
    <w:rsid w:val="6E0E5207"/>
    <w:rsid w:val="6E1667E8"/>
    <w:rsid w:val="6ED10C09"/>
    <w:rsid w:val="6EDC7FC7"/>
    <w:rsid w:val="6EF27244"/>
    <w:rsid w:val="6F265C9F"/>
    <w:rsid w:val="6FBC37ED"/>
    <w:rsid w:val="6FC43537"/>
    <w:rsid w:val="6FFA783D"/>
    <w:rsid w:val="700E4AC8"/>
    <w:rsid w:val="7050420C"/>
    <w:rsid w:val="71CFCE77"/>
    <w:rsid w:val="723D7223"/>
    <w:rsid w:val="723D9375"/>
    <w:rsid w:val="725C988E"/>
    <w:rsid w:val="72B8C20F"/>
    <w:rsid w:val="742166DC"/>
    <w:rsid w:val="74DFE6DE"/>
    <w:rsid w:val="779E9BE4"/>
    <w:rsid w:val="78F864B8"/>
    <w:rsid w:val="79548473"/>
    <w:rsid w:val="799CB7C6"/>
    <w:rsid w:val="79B79066"/>
    <w:rsid w:val="7A2DAAE8"/>
    <w:rsid w:val="7A628342"/>
    <w:rsid w:val="7BE14117"/>
    <w:rsid w:val="7C38D251"/>
    <w:rsid w:val="7C6F74B5"/>
    <w:rsid w:val="7C72EA83"/>
    <w:rsid w:val="7C7F5350"/>
    <w:rsid w:val="7CBC01B2"/>
    <w:rsid w:val="7D588928"/>
    <w:rsid w:val="7D5A79B1"/>
    <w:rsid w:val="7D8F34EF"/>
    <w:rsid w:val="7E467313"/>
    <w:rsid w:val="7E6E4EB8"/>
    <w:rsid w:val="7F4D4F06"/>
    <w:rsid w:val="7F582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8B76"/>
  <w15:docId w15:val="{93EE2F6A-12CE-43A1-8DFB-E27E5475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D00"/>
    <w:pPr>
      <w:spacing w:after="120" w:line="276" w:lineRule="auto"/>
    </w:pPr>
    <w:rPr>
      <w:rFonts w:ascii="Franklin Gothic Book" w:eastAsiaTheme="minorHAnsi" w:hAnsi="Franklin Gothic Book" w:cstheme="minorBidi"/>
      <w:sz w:val="22"/>
      <w:szCs w:val="22"/>
      <w:lang w:eastAsia="en-US"/>
    </w:rPr>
  </w:style>
  <w:style w:type="paragraph" w:styleId="Heading1">
    <w:name w:val="heading 1"/>
    <w:next w:val="Normal"/>
    <w:link w:val="Heading1Char"/>
    <w:uiPriority w:val="1"/>
    <w:qFormat/>
    <w:rsid w:val="00881D00"/>
    <w:pPr>
      <w:widowControl w:val="0"/>
      <w:spacing w:before="3000" w:after="240"/>
      <w:contextualSpacing/>
      <w:outlineLvl w:val="0"/>
    </w:pPr>
    <w:rPr>
      <w:rFonts w:ascii="Franklin Gothic Demi" w:eastAsiaTheme="minorHAnsi" w:hAnsi="Franklin Gothic Demi" w:cstheme="minorBidi"/>
      <w:bCs/>
      <w:color w:val="0A1C40"/>
      <w:spacing w:val="5"/>
      <w:kern w:val="28"/>
      <w:sz w:val="48"/>
      <w:szCs w:val="48"/>
      <w:lang w:eastAsia="en-US"/>
    </w:rPr>
  </w:style>
  <w:style w:type="paragraph" w:styleId="Heading2">
    <w:name w:val="heading 2"/>
    <w:basedOn w:val="Normal"/>
    <w:next w:val="Normal"/>
    <w:link w:val="Heading2Char"/>
    <w:uiPriority w:val="3"/>
    <w:qFormat/>
    <w:rsid w:val="00881D00"/>
    <w:pPr>
      <w:keepNext/>
      <w:spacing w:before="120" w:line="240" w:lineRule="auto"/>
      <w:ind w:left="720" w:hanging="720"/>
      <w:outlineLvl w:val="1"/>
    </w:pPr>
    <w:rPr>
      <w:rFonts w:ascii="Franklin Gothic Demi" w:eastAsiaTheme="minorEastAsia" w:hAnsi="Franklin Gothic Demi"/>
      <w:bCs/>
      <w:color w:val="8A290A"/>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rsid w:val="00881D00"/>
    <w:pPr>
      <w:tabs>
        <w:tab w:val="center" w:pos="4820"/>
      </w:tabs>
      <w:spacing w:line="240" w:lineRule="auto"/>
      <w:jc w:val="center"/>
    </w:pPr>
    <w:rPr>
      <w:sz w:val="20"/>
    </w:rPr>
  </w:style>
  <w:style w:type="character" w:customStyle="1" w:styleId="HeaderChar">
    <w:name w:val="Header Char"/>
    <w:basedOn w:val="DefaultParagraphFont"/>
    <w:link w:val="Header"/>
    <w:uiPriority w:val="99"/>
    <w:rsid w:val="00881D00"/>
    <w:rPr>
      <w:rFonts w:ascii="Franklin Gothic Book" w:eastAsiaTheme="minorHAnsi" w:hAnsi="Franklin Gothic Book" w:cstheme="minorBidi"/>
      <w:szCs w:val="22"/>
      <w:lang w:eastAsia="en-US"/>
    </w:rPr>
  </w:style>
  <w:style w:type="paragraph" w:styleId="Footer">
    <w:name w:val="footer"/>
    <w:basedOn w:val="Normal"/>
    <w:link w:val="FooterChar"/>
    <w:uiPriority w:val="99"/>
    <w:rsid w:val="00881D00"/>
    <w:pPr>
      <w:tabs>
        <w:tab w:val="center" w:pos="4536"/>
      </w:tabs>
      <w:spacing w:line="240" w:lineRule="auto"/>
      <w:jc w:val="center"/>
    </w:pPr>
    <w:rPr>
      <w:sz w:val="20"/>
    </w:rPr>
  </w:style>
  <w:style w:type="character" w:customStyle="1" w:styleId="FooterChar">
    <w:name w:val="Footer Char"/>
    <w:basedOn w:val="DefaultParagraphFont"/>
    <w:link w:val="Footer"/>
    <w:uiPriority w:val="99"/>
    <w:rsid w:val="00881D00"/>
    <w:rPr>
      <w:rFonts w:ascii="Franklin Gothic Book" w:eastAsiaTheme="minorHAnsi" w:hAnsi="Franklin Gothic Book"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81D00"/>
    <w:rPr>
      <w:rFonts w:ascii="Franklin Gothic Demi" w:eastAsiaTheme="minorHAnsi" w:hAnsi="Franklin Gothic Demi" w:cstheme="minorBidi"/>
      <w:bCs/>
      <w:color w:val="0A1C40"/>
      <w:spacing w:val="5"/>
      <w:kern w:val="28"/>
      <w:sz w:val="48"/>
      <w:szCs w:val="48"/>
      <w:lang w:eastAsia="en-US"/>
    </w:rPr>
  </w:style>
  <w:style w:type="character" w:customStyle="1" w:styleId="Heading2Char">
    <w:name w:val="Heading 2 Char"/>
    <w:basedOn w:val="DefaultParagraphFont"/>
    <w:link w:val="Heading2"/>
    <w:uiPriority w:val="3"/>
    <w:rsid w:val="00881D00"/>
    <w:rPr>
      <w:rFonts w:ascii="Franklin Gothic Demi" w:eastAsiaTheme="minorEastAsia" w:hAnsi="Franklin Gothic Demi" w:cstheme="minorBidi"/>
      <w:bCs/>
      <w:color w:val="8A290A"/>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
      </w:numPr>
      <w:spacing w:before="120"/>
    </w:pPr>
  </w:style>
  <w:style w:type="paragraph" w:styleId="ListBullet2">
    <w:name w:val="List Bullet 2"/>
    <w:basedOn w:val="Normal"/>
    <w:uiPriority w:val="8"/>
    <w:qFormat/>
    <w:pPr>
      <w:numPr>
        <w:ilvl w:val="1"/>
        <w:numId w:val="2"/>
      </w:numPr>
      <w:spacing w:before="120"/>
      <w:contextualSpacing/>
    </w:pPr>
  </w:style>
  <w:style w:type="paragraph" w:styleId="ListNumber">
    <w:name w:val="List Number"/>
    <w:basedOn w:val="Normal"/>
    <w:uiPriority w:val="9"/>
    <w:qFormat/>
    <w:pPr>
      <w:numPr>
        <w:numId w:val="9"/>
      </w:numPr>
      <w:tabs>
        <w:tab w:val="left" w:pos="142"/>
      </w:tabs>
      <w:spacing w:before="120"/>
    </w:pPr>
  </w:style>
  <w:style w:type="paragraph" w:styleId="ListNumber2">
    <w:name w:val="List Number 2"/>
    <w:uiPriority w:val="10"/>
    <w:qFormat/>
    <w:rsid w:val="00241BFB"/>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Pr>
    <w:tcPr>
      <w:tcBorders>
        <w:left w:val="nil"/>
        <w:right w:val="nil"/>
      </w:tcBorders>
      <w:shd w:val="clear" w:color="auto" w:fill="FDE4D0"/>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after="200" w:line="280" w:lineRule="atLeast"/>
    </w:p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881D00"/>
    <w:pPr>
      <w:spacing w:after="120" w:line="276" w:lineRule="auto"/>
    </w:pPr>
    <w:rPr>
      <w:rFonts w:ascii="Franklin Gothic Book" w:eastAsiaTheme="minorHAnsi" w:hAnsi="Franklin Gothic Book" w:cstheme="minorBidi"/>
      <w:sz w:val="18"/>
      <w:szCs w:val="18"/>
      <w:lang w:eastAsia="en-US"/>
    </w:rPr>
  </w:style>
  <w:style w:type="paragraph" w:styleId="ListBullet3">
    <w:name w:val="List Bullet 3"/>
    <w:basedOn w:val="Normal"/>
    <w:uiPriority w:val="99"/>
    <w:semiHidden/>
    <w:pPr>
      <w:numPr>
        <w:ilvl w:val="2"/>
        <w:numId w:val="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6"/>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8"/>
      </w:numPr>
      <w:tabs>
        <w:tab w:val="num" w:pos="284"/>
      </w:tabs>
      <w:ind w:left="568" w:hanging="284"/>
    </w:pPr>
  </w:style>
  <w:style w:type="numbering" w:customStyle="1" w:styleId="TableBulletlist">
    <w:name w:val="Table Bullet list"/>
    <w:uiPriority w:val="99"/>
    <w:pPr>
      <w:numPr>
        <w:numId w:val="7"/>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9"/>
      </w:numPr>
      <w:spacing w:before="120" w:after="120" w:line="264" w:lineRule="auto"/>
    </w:pPr>
    <w:rPr>
      <w:rFonts w:asciiTheme="minorHAnsi" w:eastAsia="Times New Roman" w:hAnsiTheme="minorHAnsi"/>
      <w:sz w:val="22"/>
      <w:szCs w:val="24"/>
      <w:lang w:eastAsia="en-US"/>
    </w:rPr>
  </w:style>
  <w:style w:type="paragraph" w:styleId="ListParagraph">
    <w:name w:val="List Paragraph"/>
    <w:basedOn w:val="Normal"/>
    <w:uiPriority w:val="34"/>
    <w:qFormat/>
    <w:rsid w:val="005B14B3"/>
    <w:pPr>
      <w:spacing w:after="160" w:line="279" w:lineRule="auto"/>
      <w:ind w:left="720"/>
      <w:contextualSpacing/>
    </w:pPr>
    <w:rPr>
      <w:rFonts w:asciiTheme="minorHAnsi" w:eastAsiaTheme="minorEastAsia" w:hAnsiTheme="minorHAnsi"/>
      <w:sz w:val="24"/>
      <w:szCs w:val="24"/>
      <w:lang w:val="en-GB" w:eastAsia="ja-JP"/>
    </w:rPr>
  </w:style>
  <w:style w:type="character" w:styleId="Mention">
    <w:name w:val="Mention"/>
    <w:basedOn w:val="DefaultParagraphFont"/>
    <w:uiPriority w:val="99"/>
    <w:unhideWhenUsed/>
    <w:rsid w:val="0046686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4648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87609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19419">
      <w:bodyDiv w:val="1"/>
      <w:marLeft w:val="0"/>
      <w:marRight w:val="0"/>
      <w:marTop w:val="0"/>
      <w:marBottom w:val="0"/>
      <w:divBdr>
        <w:top w:val="none" w:sz="0" w:space="0" w:color="auto"/>
        <w:left w:val="none" w:sz="0" w:space="0" w:color="auto"/>
        <w:bottom w:val="none" w:sz="0" w:space="0" w:color="auto"/>
        <w:right w:val="none" w:sz="0" w:space="0" w:color="auto"/>
      </w:divBdr>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80674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47267224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eic@aeic.gov.au" TargetMode="External"/><Relationship Id="rId13" Type="http://schemas.openxmlformats.org/officeDocument/2006/relationships/footer" Target="foot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aeic.gov.au"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creativecommons.org/licenses/by/4.0/legalcode.en"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5cab47ba510042f66e4e6105773c576c">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05779f2c1940ef4c36aac48e5e2abca0"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3857EC-46FA-4199-80AA-A4A6A507C69F}"/>
</file>

<file path=customXml/itemProps2.xml><?xml version="1.0" encoding="utf-8"?>
<ds:datastoreItem xmlns:ds="http://schemas.openxmlformats.org/officeDocument/2006/customXml" ds:itemID="{83E5944E-D2EA-4143-AD7F-3124CDA56D03}"/>
</file>

<file path=customXml/itemProps3.xml><?xml version="1.0" encoding="utf-8"?>
<ds:datastoreItem xmlns:ds="http://schemas.openxmlformats.org/officeDocument/2006/customXml" ds:itemID="{3836CCF0-A3BA-4E8E-8348-AEBBC45EABAA}"/>
</file>

<file path=docMetadata/LabelInfo.xml><?xml version="1.0" encoding="utf-8"?>
<clbl:labelList xmlns:clbl="http://schemas.microsoft.com/office/2020/mipLabelMetadata">
  <clbl:label id="{2e6ba7ff-9897-4e65-9803-3be34fd9cf5a}"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1727</Words>
  <Characters>10607</Characters>
  <Application>Microsoft Office Word</Application>
  <DocSecurity>4</DocSecurity>
  <Lines>216</Lines>
  <Paragraphs>108</Paragraphs>
  <ScaleCrop>false</ScaleCrop>
  <HeadingPairs>
    <vt:vector size="2" baseType="variant">
      <vt:variant>
        <vt:lpstr>Title</vt:lpstr>
      </vt:variant>
      <vt:variant>
        <vt:i4>1</vt:i4>
      </vt:variant>
    </vt:vector>
  </HeadingPairs>
  <TitlesOfParts>
    <vt:vector size="1" baseType="lpstr">
      <vt:lpstr>Position Statement Public Liability Insurance for Landholders Neighbouring Energy Infrastructure</vt:lpstr>
    </vt:vector>
  </TitlesOfParts>
  <Company/>
  <LinksUpToDate>false</LinksUpToDate>
  <CharactersWithSpaces>12226</CharactersWithSpaces>
  <SharedDoc>false</SharedDoc>
  <HLinks>
    <vt:vector size="24" baseType="variant">
      <vt:variant>
        <vt:i4>1179648</vt:i4>
      </vt:variant>
      <vt:variant>
        <vt:i4>9</vt:i4>
      </vt:variant>
      <vt:variant>
        <vt:i4>0</vt:i4>
      </vt:variant>
      <vt:variant>
        <vt:i4>5</vt:i4>
      </vt:variant>
      <vt:variant>
        <vt:lpwstr>https://creativecommons.org/licenses/by/4.0/legalcode.en</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6029355</vt:i4>
      </vt:variant>
      <vt:variant>
        <vt:i4>3</vt:i4>
      </vt:variant>
      <vt:variant>
        <vt:i4>0</vt:i4>
      </vt:variant>
      <vt:variant>
        <vt:i4>5</vt:i4>
      </vt:variant>
      <vt:variant>
        <vt:lpwstr>mailto:aeic@aeic.gov.au</vt:lpwstr>
      </vt:variant>
      <vt:variant>
        <vt:lpwstr/>
      </vt:variant>
      <vt:variant>
        <vt:i4>3735590</vt:i4>
      </vt:variant>
      <vt:variant>
        <vt:i4>0</vt:i4>
      </vt:variant>
      <vt:variant>
        <vt:i4>0</vt:i4>
      </vt:variant>
      <vt:variant>
        <vt:i4>5</vt:i4>
      </vt:variant>
      <vt:variant>
        <vt:lpwstr>http://www.aeic.gov.au/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Statement Public Liability Insurance for Landholders Neighbouring Energy Infrastructure</dc:title>
  <dc:subject/>
  <dc:creator>AEIC</dc:creator>
  <cp:keywords/>
  <dc:description/>
  <cp:lastModifiedBy>Bec DURACK</cp:lastModifiedBy>
  <cp:revision>2</cp:revision>
  <dcterms:created xsi:type="dcterms:W3CDTF">2025-12-03T23:35:00Z</dcterms:created>
  <dcterms:modified xsi:type="dcterms:W3CDTF">2025-12-03T23:35:00Z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